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Resolution Denouncing the Detention of Law-Abiding Immigrants at the Courthouse and Affirming San Francisco’s Commitment to Protecting All Residents from Persecution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WHEREAS, San Francisco is a proud sanctuary city, rooted in values of dignity, fairness, and safety for all people regardless of immigration status; and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WHEREAS, immigrant communities are the backbone of San Francisco—contributing billions to the local economy, raising families, building community, and enriching the social and cultural fabric of our city; and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WHEREAS, recent incidents have emerged where law-abiding immigrants have been detained while appearing at immigration court proceedings, despite actively pursuing lawful pathways to obtain work permits, lawful status, and ultimately, naturalization; and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WHEREAS, these legal proceedings are vital components of due process and a functioning immigration system, and people should not be criminalized or punished for complying with the law; and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WHEREAS, targeting individuals who are actively participating in the legal process undermines public trust in the courts, creates a chilling effect across immigrant communities, and directly contradicts the intent and purpose of San Francisco’s Sanctuary Ordinance; and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WHEREAS, no resident of San Francisco should live in fear of arrest, detention, or separation from their families simply for accessing the courts or engaging in lawful processes;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BE IT RESOLVED, that the San Francisco Immigrant Rights Commission strongly condemns the detention of law-abiding immigrants at courthouses and calls upon all city departments and officials to uphold the sanctuary values of this city by ensuring that no local resources are used to aid or abet immigration enforcement actions at or near court facilities; and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BE IT FURTHER RESOLVED, that the Commission urges the Mayor, the Board of Supervisors, and all relevant local agencies to take immediate action to strengthen protections for immigrants at all legal venues, including but not limited to immigration courts; and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 IT FURTHER RESOLVED, that the Commission calls upon the federal government to end the practice of targeting individuals at courthouses and to reaffirm the right of all people—regardless of immigration status—to access justice without fear.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