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3CAB" w14:textId="77777777" w:rsidR="00266F52" w:rsidRDefault="00000000">
      <w:pPr>
        <w:spacing w:after="0" w:line="259" w:lineRule="auto"/>
        <w:ind w:left="24" w:firstLine="0"/>
        <w:jc w:val="center"/>
      </w:pPr>
      <w:r>
        <w:rPr>
          <w:b/>
          <w:sz w:val="26"/>
        </w:rPr>
        <w:t xml:space="preserve">SAN FRANCISCO BEHAVIORAL HEALTH COMMISSION </w:t>
      </w:r>
    </w:p>
    <w:p w14:paraId="420C6548" w14:textId="77777777" w:rsidR="00266F52" w:rsidRDefault="00000000">
      <w:pPr>
        <w:spacing w:after="58" w:line="259" w:lineRule="auto"/>
        <w:ind w:left="14" w:right="-16" w:firstLine="0"/>
      </w:pPr>
      <w:r>
        <w:rPr>
          <w:rFonts w:ascii="Calibri" w:eastAsia="Calibri" w:hAnsi="Calibri" w:cs="Calibri"/>
          <w:noProof/>
          <w:sz w:val="22"/>
        </w:rPr>
        <mc:AlternateContent>
          <mc:Choice Requires="wpg">
            <w:drawing>
              <wp:inline distT="0" distB="0" distL="0" distR="0" wp14:anchorId="78B9D63C" wp14:editId="0C5CA620">
                <wp:extent cx="5956935" cy="1181108"/>
                <wp:effectExtent l="0" t="0" r="0" b="0"/>
                <wp:docPr id="4063" name="Group 4063"/>
                <wp:cNvGraphicFramePr/>
                <a:graphic xmlns:a="http://schemas.openxmlformats.org/drawingml/2006/main">
                  <a:graphicData uri="http://schemas.microsoft.com/office/word/2010/wordprocessingGroup">
                    <wpg:wgp>
                      <wpg:cNvGrpSpPr/>
                      <wpg:grpSpPr>
                        <a:xfrm>
                          <a:off x="0" y="0"/>
                          <a:ext cx="5956935" cy="1181108"/>
                          <a:chOff x="0" y="0"/>
                          <a:chExt cx="5956935" cy="1181108"/>
                        </a:xfrm>
                      </wpg:grpSpPr>
                      <wps:wsp>
                        <wps:cNvPr id="9" name="Rectangle 9"/>
                        <wps:cNvSpPr/>
                        <wps:spPr>
                          <a:xfrm>
                            <a:off x="1647444" y="185479"/>
                            <a:ext cx="530611" cy="150326"/>
                          </a:xfrm>
                          <a:prstGeom prst="rect">
                            <a:avLst/>
                          </a:prstGeom>
                          <a:ln>
                            <a:noFill/>
                          </a:ln>
                        </wps:spPr>
                        <wps:txbx>
                          <w:txbxContent>
                            <w:p w14:paraId="72579138" w14:textId="77777777" w:rsidR="00266F52" w:rsidRDefault="00000000">
                              <w:pPr>
                                <w:spacing w:after="160" w:line="259" w:lineRule="auto"/>
                                <w:ind w:left="0" w:firstLine="0"/>
                              </w:pPr>
                              <w:r>
                                <w:rPr>
                                  <w:b/>
                                  <w:sz w:val="20"/>
                                </w:rPr>
                                <w:t xml:space="preserve">Mayor </w:t>
                              </w:r>
                            </w:p>
                          </w:txbxContent>
                        </wps:txbx>
                        <wps:bodyPr horzOverflow="overflow" vert="horz" lIns="0" tIns="0" rIns="0" bIns="0" rtlCol="0">
                          <a:noAutofit/>
                        </wps:bodyPr>
                      </wps:wsp>
                      <wps:wsp>
                        <wps:cNvPr id="10" name="Rectangle 10"/>
                        <wps:cNvSpPr/>
                        <wps:spPr>
                          <a:xfrm>
                            <a:off x="1432560" y="324800"/>
                            <a:ext cx="1039354" cy="135837"/>
                          </a:xfrm>
                          <a:prstGeom prst="rect">
                            <a:avLst/>
                          </a:prstGeom>
                          <a:ln>
                            <a:noFill/>
                          </a:ln>
                        </wps:spPr>
                        <wps:txbx>
                          <w:txbxContent>
                            <w:p w14:paraId="3AB817BE" w14:textId="77777777" w:rsidR="00266F52" w:rsidRDefault="00000000">
                              <w:pPr>
                                <w:spacing w:after="160" w:line="259" w:lineRule="auto"/>
                                <w:ind w:left="0" w:firstLine="0"/>
                              </w:pPr>
                              <w:r>
                                <w:rPr>
                                  <w:b/>
                                  <w:sz w:val="18"/>
                                </w:rPr>
                                <w:t xml:space="preserve">Daniel L. Lurie </w:t>
                              </w:r>
                            </w:p>
                          </w:txbxContent>
                        </wps:txbx>
                        <wps:bodyPr horzOverflow="overflow" vert="horz" lIns="0" tIns="0" rIns="0" bIns="0" rtlCol="0">
                          <a:noAutofit/>
                        </wps:bodyPr>
                      </wps:wsp>
                      <wps:wsp>
                        <wps:cNvPr id="4015" name="Rectangle 4015"/>
                        <wps:cNvSpPr/>
                        <wps:spPr>
                          <a:xfrm>
                            <a:off x="4466844" y="175475"/>
                            <a:ext cx="250438" cy="145662"/>
                          </a:xfrm>
                          <a:prstGeom prst="rect">
                            <a:avLst/>
                          </a:prstGeom>
                          <a:ln>
                            <a:noFill/>
                          </a:ln>
                        </wps:spPr>
                        <wps:txbx>
                          <w:txbxContent>
                            <w:p w14:paraId="46637A28" w14:textId="77777777" w:rsidR="00266F52" w:rsidRDefault="00000000">
                              <w:pPr>
                                <w:spacing w:after="160" w:line="259" w:lineRule="auto"/>
                                <w:ind w:left="0" w:firstLine="0"/>
                              </w:pPr>
                              <w:r>
                                <w:rPr>
                                  <w:sz w:val="19"/>
                                </w:rPr>
                                <w:t>101</w:t>
                              </w:r>
                            </w:p>
                          </w:txbxContent>
                        </wps:txbx>
                        <wps:bodyPr horzOverflow="overflow" vert="horz" lIns="0" tIns="0" rIns="0" bIns="0" rtlCol="0">
                          <a:noAutofit/>
                        </wps:bodyPr>
                      </wps:wsp>
                      <wps:wsp>
                        <wps:cNvPr id="4018" name="Rectangle 4018"/>
                        <wps:cNvSpPr/>
                        <wps:spPr>
                          <a:xfrm>
                            <a:off x="4660477" y="175475"/>
                            <a:ext cx="1462965" cy="145662"/>
                          </a:xfrm>
                          <a:prstGeom prst="rect">
                            <a:avLst/>
                          </a:prstGeom>
                          <a:ln>
                            <a:noFill/>
                          </a:ln>
                        </wps:spPr>
                        <wps:txbx>
                          <w:txbxContent>
                            <w:p w14:paraId="79C59DF2" w14:textId="77777777" w:rsidR="00266F52" w:rsidRDefault="00000000">
                              <w:pPr>
                                <w:spacing w:after="160" w:line="259" w:lineRule="auto"/>
                                <w:ind w:left="0" w:firstLine="0"/>
                              </w:pPr>
                              <w:r>
                                <w:rPr>
                                  <w:sz w:val="19"/>
                                </w:rPr>
                                <w:t xml:space="preserve"> Grove Street, Room </w:t>
                              </w:r>
                            </w:p>
                          </w:txbxContent>
                        </wps:txbx>
                        <wps:bodyPr horzOverflow="overflow" vert="horz" lIns="0" tIns="0" rIns="0" bIns="0" rtlCol="0">
                          <a:noAutofit/>
                        </wps:bodyPr>
                      </wps:wsp>
                      <wps:wsp>
                        <wps:cNvPr id="4017" name="Rectangle 4017"/>
                        <wps:cNvSpPr/>
                        <wps:spPr>
                          <a:xfrm>
                            <a:off x="5763883" y="175475"/>
                            <a:ext cx="252407" cy="145662"/>
                          </a:xfrm>
                          <a:prstGeom prst="rect">
                            <a:avLst/>
                          </a:prstGeom>
                          <a:ln>
                            <a:noFill/>
                          </a:ln>
                        </wps:spPr>
                        <wps:txbx>
                          <w:txbxContent>
                            <w:p w14:paraId="6F3A53FD" w14:textId="77777777" w:rsidR="00266F52" w:rsidRDefault="00000000">
                              <w:pPr>
                                <w:spacing w:after="160" w:line="259" w:lineRule="auto"/>
                                <w:ind w:left="0" w:firstLine="0"/>
                              </w:pPr>
                              <w:r>
                                <w:rPr>
                                  <w:sz w:val="19"/>
                                </w:rPr>
                                <w:t>309</w:t>
                              </w:r>
                            </w:p>
                          </w:txbxContent>
                        </wps:txbx>
                        <wps:bodyPr horzOverflow="overflow" vert="horz" lIns="0" tIns="0" rIns="0" bIns="0" rtlCol="0">
                          <a:noAutofit/>
                        </wps:bodyPr>
                      </wps:wsp>
                      <wps:wsp>
                        <wps:cNvPr id="12" name="Rectangle 12"/>
                        <wps:cNvSpPr/>
                        <wps:spPr>
                          <a:xfrm>
                            <a:off x="4594860" y="326351"/>
                            <a:ext cx="40032" cy="145662"/>
                          </a:xfrm>
                          <a:prstGeom prst="rect">
                            <a:avLst/>
                          </a:prstGeom>
                          <a:ln>
                            <a:noFill/>
                          </a:ln>
                        </wps:spPr>
                        <wps:txbx>
                          <w:txbxContent>
                            <w:p w14:paraId="5B028701" w14:textId="77777777" w:rsidR="00266F52" w:rsidRDefault="00000000">
                              <w:pPr>
                                <w:spacing w:after="160" w:line="259" w:lineRule="auto"/>
                                <w:ind w:left="0" w:firstLine="0"/>
                              </w:pPr>
                              <w:r>
                                <w:rPr>
                                  <w:sz w:val="19"/>
                                </w:rPr>
                                <w:t xml:space="preserve"> </w:t>
                              </w:r>
                            </w:p>
                          </w:txbxContent>
                        </wps:txbx>
                        <wps:bodyPr horzOverflow="overflow" vert="horz" lIns="0" tIns="0" rIns="0" bIns="0" rtlCol="0">
                          <a:noAutofit/>
                        </wps:bodyPr>
                      </wps:wsp>
                      <wps:wsp>
                        <wps:cNvPr id="14" name="Rectangle 14"/>
                        <wps:cNvSpPr/>
                        <wps:spPr>
                          <a:xfrm>
                            <a:off x="4629912" y="326351"/>
                            <a:ext cx="1758703" cy="145662"/>
                          </a:xfrm>
                          <a:prstGeom prst="rect">
                            <a:avLst/>
                          </a:prstGeom>
                          <a:ln>
                            <a:noFill/>
                          </a:ln>
                        </wps:spPr>
                        <wps:txbx>
                          <w:txbxContent>
                            <w:p w14:paraId="6A772469" w14:textId="77777777" w:rsidR="00266F52" w:rsidRDefault="00000000">
                              <w:pPr>
                                <w:spacing w:after="160" w:line="259" w:lineRule="auto"/>
                                <w:ind w:left="0" w:firstLine="0"/>
                              </w:pPr>
                              <w:r>
                                <w:rPr>
                                  <w:sz w:val="19"/>
                                </w:rPr>
                                <w:t>San Francisco, CA 94102</w:t>
                              </w:r>
                            </w:p>
                          </w:txbxContent>
                        </wps:txbx>
                        <wps:bodyPr horzOverflow="overflow" vert="horz" lIns="0" tIns="0" rIns="0" bIns="0" rtlCol="0">
                          <a:noAutofit/>
                        </wps:bodyPr>
                      </wps:wsp>
                      <wps:wsp>
                        <wps:cNvPr id="15" name="Rectangle 15"/>
                        <wps:cNvSpPr/>
                        <wps:spPr>
                          <a:xfrm>
                            <a:off x="5149596" y="477227"/>
                            <a:ext cx="728512" cy="145662"/>
                          </a:xfrm>
                          <a:prstGeom prst="rect">
                            <a:avLst/>
                          </a:prstGeom>
                          <a:ln>
                            <a:noFill/>
                          </a:ln>
                        </wps:spPr>
                        <wps:txbx>
                          <w:txbxContent>
                            <w:p w14:paraId="203027EA" w14:textId="77777777" w:rsidR="00266F52" w:rsidRDefault="00000000">
                              <w:pPr>
                                <w:spacing w:after="160" w:line="259" w:lineRule="auto"/>
                                <w:ind w:left="0" w:firstLine="0"/>
                              </w:pPr>
                              <w:r>
                                <w:rPr>
                                  <w:sz w:val="19"/>
                                </w:rPr>
                                <w:t>(628)206-</w:t>
                              </w:r>
                            </w:p>
                          </w:txbxContent>
                        </wps:txbx>
                        <wps:bodyPr horzOverflow="overflow" vert="horz" lIns="0" tIns="0" rIns="0" bIns="0" rtlCol="0">
                          <a:noAutofit/>
                        </wps:bodyPr>
                      </wps:wsp>
                      <wps:wsp>
                        <wps:cNvPr id="16" name="Rectangle 16"/>
                        <wps:cNvSpPr/>
                        <wps:spPr>
                          <a:xfrm>
                            <a:off x="5701284" y="477227"/>
                            <a:ext cx="335625" cy="145662"/>
                          </a:xfrm>
                          <a:prstGeom prst="rect">
                            <a:avLst/>
                          </a:prstGeom>
                          <a:ln>
                            <a:noFill/>
                          </a:ln>
                        </wps:spPr>
                        <wps:txbx>
                          <w:txbxContent>
                            <w:p w14:paraId="7F562C44" w14:textId="77777777" w:rsidR="00266F52" w:rsidRDefault="00000000">
                              <w:pPr>
                                <w:spacing w:after="160" w:line="259" w:lineRule="auto"/>
                                <w:ind w:left="0" w:firstLine="0"/>
                              </w:pPr>
                              <w:r>
                                <w:rPr>
                                  <w:sz w:val="19"/>
                                </w:rPr>
                                <w:t>7679</w:t>
                              </w:r>
                            </w:p>
                          </w:txbxContent>
                        </wps:txbx>
                        <wps:bodyPr horzOverflow="overflow" vert="horz" lIns="0" tIns="0" rIns="0" bIns="0" rtlCol="0">
                          <a:noAutofit/>
                        </wps:bodyPr>
                      </wps:wsp>
                      <wps:wsp>
                        <wps:cNvPr id="4046" name="Rectangle 4046"/>
                        <wps:cNvSpPr/>
                        <wps:spPr>
                          <a:xfrm>
                            <a:off x="4700016" y="628104"/>
                            <a:ext cx="1667287" cy="145662"/>
                          </a:xfrm>
                          <a:prstGeom prst="rect">
                            <a:avLst/>
                          </a:prstGeom>
                          <a:ln>
                            <a:noFill/>
                          </a:ln>
                        </wps:spPr>
                        <wps:txbx>
                          <w:txbxContent>
                            <w:p w14:paraId="4FD81DED" w14:textId="77777777" w:rsidR="00266F52" w:rsidRDefault="00000000">
                              <w:pPr>
                                <w:spacing w:after="160" w:line="259" w:lineRule="auto"/>
                                <w:ind w:left="0" w:firstLine="0"/>
                              </w:pPr>
                              <w:r>
                                <w:rPr>
                                  <w:color w:val="0070C0"/>
                                  <w:sz w:val="19"/>
                                  <w:u w:val="single" w:color="0070C0"/>
                                </w:rPr>
                                <w:t>mailto:sfbhc@sfdph.org</w:t>
                              </w:r>
                            </w:p>
                          </w:txbxContent>
                        </wps:txbx>
                        <wps:bodyPr horzOverflow="overflow" vert="horz" lIns="0" tIns="0" rIns="0" bIns="0" rtlCol="0">
                          <a:noAutofit/>
                        </wps:bodyPr>
                      </wps:wsp>
                      <wps:wsp>
                        <wps:cNvPr id="19" name="Rectangle 19"/>
                        <wps:cNvSpPr/>
                        <wps:spPr>
                          <a:xfrm>
                            <a:off x="0" y="1071587"/>
                            <a:ext cx="1795340" cy="145662"/>
                          </a:xfrm>
                          <a:prstGeom prst="rect">
                            <a:avLst/>
                          </a:prstGeom>
                          <a:ln>
                            <a:noFill/>
                          </a:ln>
                        </wps:spPr>
                        <wps:txbx>
                          <w:txbxContent>
                            <w:p w14:paraId="0AF5F35F" w14:textId="77777777" w:rsidR="00266F52" w:rsidRDefault="00000000">
                              <w:pPr>
                                <w:spacing w:after="160" w:line="259" w:lineRule="auto"/>
                                <w:ind w:left="0" w:firstLine="0"/>
                              </w:pPr>
                              <w:r>
                                <w:rPr>
                                  <w:sz w:val="19"/>
                                </w:rPr>
                                <w:t xml:space="preserve">Co-Chair Kescha S. Mason </w:t>
                              </w:r>
                            </w:p>
                          </w:txbxContent>
                        </wps:txbx>
                        <wps:bodyPr horzOverflow="overflow" vert="horz" lIns="0" tIns="0" rIns="0" bIns="0" rtlCol="0">
                          <a:noAutofit/>
                        </wps:bodyPr>
                      </wps:wsp>
                      <wps:wsp>
                        <wps:cNvPr id="66" name="Shape 66"/>
                        <wps:cNvSpPr/>
                        <wps:spPr>
                          <a:xfrm>
                            <a:off x="0" y="0"/>
                            <a:ext cx="5956935" cy="0"/>
                          </a:xfrm>
                          <a:custGeom>
                            <a:avLst/>
                            <a:gdLst/>
                            <a:ahLst/>
                            <a:cxnLst/>
                            <a:rect l="0" t="0" r="0" b="0"/>
                            <a:pathLst>
                              <a:path w="5956935">
                                <a:moveTo>
                                  <a:pt x="0" y="0"/>
                                </a:moveTo>
                                <a:lnTo>
                                  <a:pt x="5956935" y="0"/>
                                </a:lnTo>
                              </a:path>
                            </a:pathLst>
                          </a:custGeom>
                          <a:ln w="18415" cap="flat">
                            <a:round/>
                          </a:ln>
                        </wps:spPr>
                        <wps:style>
                          <a:lnRef idx="1">
                            <a:srgbClr val="0000FF"/>
                          </a:lnRef>
                          <a:fillRef idx="0">
                            <a:srgbClr val="000000">
                              <a:alpha val="0"/>
                            </a:srgbClr>
                          </a:fillRef>
                          <a:effectRef idx="0">
                            <a:scrgbClr r="0" g="0" b="0"/>
                          </a:effectRef>
                          <a:fontRef idx="none"/>
                        </wps:style>
                        <wps:bodyPr/>
                      </wps:wsp>
                      <pic:pic xmlns:pic="http://schemas.openxmlformats.org/drawingml/2006/picture">
                        <pic:nvPicPr>
                          <pic:cNvPr id="68" name="Picture 68"/>
                          <pic:cNvPicPr/>
                        </pic:nvPicPr>
                        <pic:blipFill>
                          <a:blip r:embed="rId7"/>
                          <a:stretch>
                            <a:fillRect/>
                          </a:stretch>
                        </pic:blipFill>
                        <pic:spPr>
                          <a:xfrm>
                            <a:off x="38100" y="63500"/>
                            <a:ext cx="758438" cy="749300"/>
                          </a:xfrm>
                          <a:prstGeom prst="rect">
                            <a:avLst/>
                          </a:prstGeom>
                        </pic:spPr>
                      </pic:pic>
                    </wpg:wgp>
                  </a:graphicData>
                </a:graphic>
              </wp:inline>
            </w:drawing>
          </mc:Choice>
          <mc:Fallback xmlns:a="http://schemas.openxmlformats.org/drawingml/2006/main">
            <w:pict>
              <v:group id="Group 4063" style="width:469.05pt;height:93.0006pt;mso-position-horizontal-relative:char;mso-position-vertical-relative:line" coordsize="59569,11811">
                <v:rect id="Rectangle 9" style="position:absolute;width:5306;height:1503;left:16474;top:1854;"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Mayor </w:t>
                        </w:r>
                      </w:p>
                    </w:txbxContent>
                  </v:textbox>
                </v:rect>
                <v:rect id="Rectangle 10" style="position:absolute;width:10393;height:1358;left:14325;top:3248;" filled="f" stroked="f">
                  <v:textbox inset="0,0,0,0">
                    <w:txbxContent>
                      <w:p>
                        <w:pPr>
                          <w:spacing w:before="0" w:after="160" w:line="259" w:lineRule="auto"/>
                          <w:ind w:left="0" w:firstLine="0"/>
                        </w:pPr>
                        <w:r>
                          <w:rPr>
                            <w:rFonts w:cs="Times New Roman" w:hAnsi="Times New Roman" w:eastAsia="Times New Roman" w:ascii="Times New Roman"/>
                            <w:b w:val="1"/>
                            <w:sz w:val="18"/>
                          </w:rPr>
                          <w:t xml:space="preserve">Daniel L. Lurie </w:t>
                        </w:r>
                      </w:p>
                    </w:txbxContent>
                  </v:textbox>
                </v:rect>
                <v:rect id="Rectangle 4015" style="position:absolute;width:2504;height:1456;left:44668;top:1754;" filled="f" stroked="f">
                  <v:textbox inset="0,0,0,0">
                    <w:txbxContent>
                      <w:p>
                        <w:pPr>
                          <w:spacing w:before="0" w:after="160" w:line="259" w:lineRule="auto"/>
                          <w:ind w:left="0" w:firstLine="0"/>
                        </w:pPr>
                        <w:r>
                          <w:rPr>
                            <w:sz w:val="19"/>
                          </w:rPr>
                          <w:t xml:space="preserve">101</w:t>
                        </w:r>
                      </w:p>
                    </w:txbxContent>
                  </v:textbox>
                </v:rect>
                <v:rect id="Rectangle 4018" style="position:absolute;width:14629;height:1456;left:46604;top:1754;" filled="f" stroked="f">
                  <v:textbox inset="0,0,0,0">
                    <w:txbxContent>
                      <w:p>
                        <w:pPr>
                          <w:spacing w:before="0" w:after="160" w:line="259" w:lineRule="auto"/>
                          <w:ind w:left="0" w:firstLine="0"/>
                        </w:pPr>
                        <w:r>
                          <w:rPr>
                            <w:sz w:val="19"/>
                          </w:rPr>
                          <w:t xml:space="preserve"> Grove Street, Room </w:t>
                        </w:r>
                      </w:p>
                    </w:txbxContent>
                  </v:textbox>
                </v:rect>
                <v:rect id="Rectangle 4017" style="position:absolute;width:2524;height:1456;left:57638;top:1754;" filled="f" stroked="f">
                  <v:textbox inset="0,0,0,0">
                    <w:txbxContent>
                      <w:p>
                        <w:pPr>
                          <w:spacing w:before="0" w:after="160" w:line="259" w:lineRule="auto"/>
                          <w:ind w:left="0" w:firstLine="0"/>
                        </w:pPr>
                        <w:r>
                          <w:rPr>
                            <w:sz w:val="19"/>
                          </w:rPr>
                          <w:t xml:space="preserve">309</w:t>
                        </w:r>
                      </w:p>
                    </w:txbxContent>
                  </v:textbox>
                </v:rect>
                <v:rect id="Rectangle 12" style="position:absolute;width:400;height:1456;left:45948;top:3263;" filled="f" stroked="f">
                  <v:textbox inset="0,0,0,0">
                    <w:txbxContent>
                      <w:p>
                        <w:pPr>
                          <w:spacing w:before="0" w:after="160" w:line="259" w:lineRule="auto"/>
                          <w:ind w:left="0" w:firstLine="0"/>
                        </w:pPr>
                        <w:r>
                          <w:rPr>
                            <w:sz w:val="19"/>
                          </w:rPr>
                          <w:t xml:space="preserve"> </w:t>
                        </w:r>
                      </w:p>
                    </w:txbxContent>
                  </v:textbox>
                </v:rect>
                <v:rect id="Rectangle 14" style="position:absolute;width:17587;height:1456;left:46299;top:3263;" filled="f" stroked="f">
                  <v:textbox inset="0,0,0,0">
                    <w:txbxContent>
                      <w:p>
                        <w:pPr>
                          <w:spacing w:before="0" w:after="160" w:line="259" w:lineRule="auto"/>
                          <w:ind w:left="0" w:firstLine="0"/>
                        </w:pPr>
                        <w:r>
                          <w:rPr>
                            <w:sz w:val="19"/>
                          </w:rPr>
                          <w:t xml:space="preserve">San Francisco, CA 94102</w:t>
                        </w:r>
                      </w:p>
                    </w:txbxContent>
                  </v:textbox>
                </v:rect>
                <v:rect id="Rectangle 15" style="position:absolute;width:7285;height:1456;left:51495;top:4772;" filled="f" stroked="f">
                  <v:textbox inset="0,0,0,0">
                    <w:txbxContent>
                      <w:p>
                        <w:pPr>
                          <w:spacing w:before="0" w:after="160" w:line="259" w:lineRule="auto"/>
                          <w:ind w:left="0" w:firstLine="0"/>
                        </w:pPr>
                        <w:r>
                          <w:rPr>
                            <w:sz w:val="19"/>
                          </w:rPr>
                          <w:t xml:space="preserve">(628)206-</w:t>
                        </w:r>
                      </w:p>
                    </w:txbxContent>
                  </v:textbox>
                </v:rect>
                <v:rect id="Rectangle 16" style="position:absolute;width:3356;height:1456;left:57012;top:4772;" filled="f" stroked="f">
                  <v:textbox inset="0,0,0,0">
                    <w:txbxContent>
                      <w:p>
                        <w:pPr>
                          <w:spacing w:before="0" w:after="160" w:line="259" w:lineRule="auto"/>
                          <w:ind w:left="0" w:firstLine="0"/>
                        </w:pPr>
                        <w:r>
                          <w:rPr>
                            <w:sz w:val="19"/>
                          </w:rPr>
                          <w:t xml:space="preserve">7679</w:t>
                        </w:r>
                      </w:p>
                    </w:txbxContent>
                  </v:textbox>
                </v:rect>
                <v:rect id="Rectangle 4046" style="position:absolute;width:16672;height:1456;left:47000;top:6281;" filled="f" stroked="f">
                  <v:textbox inset="0,0,0,0">
                    <w:txbxContent>
                      <w:p>
                        <w:pPr>
                          <w:spacing w:before="0" w:after="160" w:line="259" w:lineRule="auto"/>
                          <w:ind w:left="0" w:firstLine="0"/>
                        </w:pPr>
                        <w:r>
                          <w:rPr>
                            <w:color w:val="0070c0"/>
                            <w:sz w:val="19"/>
                            <w:u w:val="single" w:color="0070c0"/>
                          </w:rPr>
                          <w:t xml:space="preserve">mailto:sfbhc@sfdph.org</w:t>
                        </w:r>
                      </w:p>
                    </w:txbxContent>
                  </v:textbox>
                </v:rect>
                <v:rect id="Rectangle 19" style="position:absolute;width:17953;height:1456;left:0;top:10715;" filled="f" stroked="f">
                  <v:textbox inset="0,0,0,0">
                    <w:txbxContent>
                      <w:p>
                        <w:pPr>
                          <w:spacing w:before="0" w:after="160" w:line="259" w:lineRule="auto"/>
                          <w:ind w:left="0" w:firstLine="0"/>
                        </w:pPr>
                        <w:r>
                          <w:rPr>
                            <w:sz w:val="19"/>
                          </w:rPr>
                          <w:t xml:space="preserve">Co-Chair Kescha S. Mason </w:t>
                        </w:r>
                      </w:p>
                    </w:txbxContent>
                  </v:textbox>
                </v:rect>
                <v:shape id="Shape 66" style="position:absolute;width:59569;height:0;left:0;top:0;" coordsize="5956935,0" path="m0,0l5956935,0">
                  <v:stroke weight="1.45pt" endcap="flat" joinstyle="round" on="true" color="#0000ff"/>
                  <v:fill on="false" color="#000000" opacity="0"/>
                </v:shape>
                <v:shape id="Picture 68" style="position:absolute;width:7584;height:7493;left:381;top:635;" filled="f">
                  <v:imagedata r:id="rId8"/>
                </v:shape>
              </v:group>
            </w:pict>
          </mc:Fallback>
        </mc:AlternateContent>
      </w:r>
    </w:p>
    <w:p w14:paraId="709649FA" w14:textId="77777777" w:rsidR="00266F52" w:rsidRDefault="00000000">
      <w:pPr>
        <w:spacing w:after="0" w:line="259" w:lineRule="auto"/>
        <w:ind w:left="9"/>
      </w:pPr>
      <w:r>
        <w:rPr>
          <w:sz w:val="19"/>
        </w:rPr>
        <w:t xml:space="preserve">Co-Chair Liza Murawski </w:t>
      </w:r>
    </w:p>
    <w:p w14:paraId="50A0FF52" w14:textId="77777777" w:rsidR="00266F52" w:rsidRDefault="00000000">
      <w:pPr>
        <w:spacing w:after="0" w:line="259" w:lineRule="auto"/>
        <w:ind w:left="9"/>
      </w:pPr>
      <w:r>
        <w:rPr>
          <w:sz w:val="19"/>
        </w:rPr>
        <w:t xml:space="preserve">Vice-Chair Lisa Wynn </w:t>
      </w:r>
    </w:p>
    <w:p w14:paraId="4B6FBE3C" w14:textId="77777777" w:rsidR="00266F52" w:rsidRDefault="00000000">
      <w:pPr>
        <w:spacing w:after="0" w:line="259" w:lineRule="auto"/>
        <w:ind w:left="9"/>
      </w:pPr>
      <w:r>
        <w:rPr>
          <w:sz w:val="19"/>
        </w:rPr>
        <w:t xml:space="preserve">Secretary Lisa Williams </w:t>
      </w:r>
    </w:p>
    <w:p w14:paraId="18E1EEA6" w14:textId="77777777" w:rsidR="00266F52" w:rsidRDefault="00000000">
      <w:pPr>
        <w:spacing w:after="0" w:line="259" w:lineRule="auto"/>
        <w:ind w:left="9"/>
      </w:pPr>
      <w:r>
        <w:rPr>
          <w:sz w:val="19"/>
        </w:rPr>
        <w:t xml:space="preserve">Harriette Stallworth Stevens, EdD </w:t>
      </w:r>
    </w:p>
    <w:p w14:paraId="2E8D0A88" w14:textId="77777777" w:rsidR="00266F52" w:rsidRDefault="00000000">
      <w:pPr>
        <w:spacing w:after="0" w:line="259" w:lineRule="auto"/>
        <w:ind w:left="9"/>
      </w:pPr>
      <w:r>
        <w:rPr>
          <w:sz w:val="19"/>
        </w:rPr>
        <w:t xml:space="preserve">Alex Humphrey, MS, CMHC, APCC, AMFT, SC </w:t>
      </w:r>
    </w:p>
    <w:p w14:paraId="73D9CE08" w14:textId="77777777" w:rsidR="00266F52" w:rsidRDefault="00000000">
      <w:pPr>
        <w:spacing w:after="0" w:line="259" w:lineRule="auto"/>
        <w:ind w:left="9"/>
      </w:pPr>
      <w:r>
        <w:rPr>
          <w:sz w:val="19"/>
        </w:rPr>
        <w:t xml:space="preserve">Carletta Jackson-Lane, JD </w:t>
      </w:r>
    </w:p>
    <w:p w14:paraId="05C205D1" w14:textId="77777777" w:rsidR="00266F52" w:rsidRDefault="00000000">
      <w:pPr>
        <w:spacing w:after="0" w:line="259" w:lineRule="auto"/>
        <w:ind w:left="9"/>
      </w:pPr>
      <w:r>
        <w:rPr>
          <w:sz w:val="19"/>
        </w:rPr>
        <w:t xml:space="preserve">Bahlam Javier Vigil </w:t>
      </w:r>
    </w:p>
    <w:p w14:paraId="7F65CE9B" w14:textId="77777777" w:rsidR="00266F52" w:rsidRDefault="00000000">
      <w:pPr>
        <w:spacing w:after="34" w:line="259" w:lineRule="auto"/>
        <w:ind w:left="9"/>
      </w:pPr>
      <w:r>
        <w:rPr>
          <w:sz w:val="19"/>
        </w:rPr>
        <w:t xml:space="preserve">Peter Murphy </w:t>
      </w:r>
    </w:p>
    <w:p w14:paraId="7FB40C89" w14:textId="77777777" w:rsidR="00266F52" w:rsidRDefault="00000000">
      <w:pPr>
        <w:spacing w:after="0" w:line="259" w:lineRule="auto"/>
        <w:ind w:right="3"/>
        <w:jc w:val="center"/>
      </w:pPr>
      <w:r>
        <w:rPr>
          <w:rFonts w:ascii="Cambria" w:eastAsia="Cambria" w:hAnsi="Cambria" w:cs="Cambria"/>
          <w:b/>
        </w:rPr>
        <w:t xml:space="preserve">Agenda  </w:t>
      </w:r>
    </w:p>
    <w:p w14:paraId="3951EA44" w14:textId="77777777" w:rsidR="00266F52" w:rsidRDefault="00000000">
      <w:pPr>
        <w:spacing w:after="0" w:line="259" w:lineRule="auto"/>
        <w:ind w:right="1"/>
        <w:jc w:val="center"/>
      </w:pPr>
      <w:r>
        <w:rPr>
          <w:rFonts w:ascii="Cambria" w:eastAsia="Cambria" w:hAnsi="Cambria" w:cs="Cambria"/>
          <w:b/>
        </w:rPr>
        <w:t xml:space="preserve">Executive Committee  </w:t>
      </w:r>
    </w:p>
    <w:p w14:paraId="16950E58" w14:textId="77777777" w:rsidR="00266F52" w:rsidRDefault="00000000">
      <w:pPr>
        <w:spacing w:after="0" w:line="259" w:lineRule="auto"/>
        <w:ind w:right="2"/>
        <w:jc w:val="center"/>
      </w:pPr>
      <w:r>
        <w:rPr>
          <w:rFonts w:ascii="Cambria" w:eastAsia="Cambria" w:hAnsi="Cambria" w:cs="Cambria"/>
          <w:b/>
        </w:rPr>
        <w:t xml:space="preserve">San Francisco City Hall  </w:t>
      </w:r>
    </w:p>
    <w:p w14:paraId="6F53FF10" w14:textId="77777777" w:rsidR="00266F52" w:rsidRDefault="00000000">
      <w:pPr>
        <w:spacing w:after="0" w:line="259" w:lineRule="auto"/>
        <w:jc w:val="center"/>
      </w:pPr>
      <w:r>
        <w:rPr>
          <w:rFonts w:ascii="Cambria" w:eastAsia="Cambria" w:hAnsi="Cambria" w:cs="Cambria"/>
          <w:b/>
        </w:rPr>
        <w:t xml:space="preserve">1 Dr. Carlton B Goodlett Place Hearing Room #408 </w:t>
      </w:r>
    </w:p>
    <w:p w14:paraId="046CF264" w14:textId="77777777" w:rsidR="00266F52" w:rsidRDefault="00000000">
      <w:pPr>
        <w:spacing w:after="0" w:line="259" w:lineRule="auto"/>
        <w:ind w:right="2"/>
        <w:jc w:val="center"/>
      </w:pPr>
      <w:r>
        <w:rPr>
          <w:rFonts w:ascii="Cambria" w:eastAsia="Cambria" w:hAnsi="Cambria" w:cs="Cambria"/>
          <w:b/>
        </w:rPr>
        <w:t xml:space="preserve">San Francisco, California 94102  </w:t>
      </w:r>
    </w:p>
    <w:p w14:paraId="629B9741" w14:textId="77777777" w:rsidR="00266F52" w:rsidRDefault="00000000">
      <w:pPr>
        <w:spacing w:after="0" w:line="259" w:lineRule="auto"/>
        <w:ind w:right="3"/>
        <w:jc w:val="center"/>
      </w:pPr>
      <w:r>
        <w:rPr>
          <w:rFonts w:ascii="Cambria" w:eastAsia="Cambria" w:hAnsi="Cambria" w:cs="Cambria"/>
          <w:b/>
        </w:rPr>
        <w:t xml:space="preserve">Tuesday, November 4, 2025  </w:t>
      </w:r>
    </w:p>
    <w:p w14:paraId="060689E9" w14:textId="77777777" w:rsidR="00266F52" w:rsidRDefault="00000000">
      <w:pPr>
        <w:spacing w:after="246" w:line="259" w:lineRule="auto"/>
        <w:ind w:right="6"/>
        <w:jc w:val="center"/>
      </w:pPr>
      <w:r>
        <w:rPr>
          <w:rFonts w:ascii="Cambria" w:eastAsia="Cambria" w:hAnsi="Cambria" w:cs="Cambria"/>
          <w:b/>
        </w:rPr>
        <w:t xml:space="preserve">6:00pm – 7:00 pm </w:t>
      </w:r>
    </w:p>
    <w:p w14:paraId="43E55555" w14:textId="77777777" w:rsidR="00266F52" w:rsidRDefault="00000000">
      <w:pPr>
        <w:spacing w:after="262" w:line="249" w:lineRule="auto"/>
        <w:ind w:left="41" w:right="1"/>
        <w:jc w:val="center"/>
      </w:pPr>
      <w:r>
        <w:t xml:space="preserve">REMOTE ACCESS </w:t>
      </w:r>
    </w:p>
    <w:p w14:paraId="500785BB" w14:textId="77777777" w:rsidR="00266F52" w:rsidRDefault="00000000">
      <w:pPr>
        <w:spacing w:after="0" w:line="259" w:lineRule="auto"/>
        <w:ind w:left="41"/>
        <w:jc w:val="center"/>
      </w:pPr>
      <w:hyperlink r:id="rId9">
        <w:r>
          <w:rPr>
            <w:color w:val="0070C0"/>
            <w:sz w:val="22"/>
            <w:u w:val="single" w:color="0070C0"/>
          </w:rPr>
          <w:t>https://us06web.zoom.us/j/82346365185?</w:t>
        </w:r>
      </w:hyperlink>
    </w:p>
    <w:p w14:paraId="4BA22755" w14:textId="77777777" w:rsidR="00266F52" w:rsidRDefault="00000000">
      <w:pPr>
        <w:spacing w:after="261" w:line="259" w:lineRule="auto"/>
        <w:ind w:left="41"/>
        <w:jc w:val="center"/>
      </w:pPr>
      <w:proofErr w:type="spellStart"/>
      <w:r>
        <w:rPr>
          <w:color w:val="0070C0"/>
          <w:sz w:val="22"/>
          <w:u w:val="single" w:color="0070C0"/>
        </w:rPr>
        <w:t>pwd</w:t>
      </w:r>
      <w:proofErr w:type="spellEnd"/>
      <w:r>
        <w:rPr>
          <w:color w:val="0070C0"/>
          <w:sz w:val="22"/>
          <w:u w:val="single" w:color="0070C0"/>
        </w:rPr>
        <w:t>=em1raGdZZTQwUTVMTHVYSXhUajAyUT09</w:t>
      </w:r>
      <w:r>
        <w:rPr>
          <w:sz w:val="22"/>
        </w:rPr>
        <w:t xml:space="preserve"> </w:t>
      </w:r>
    </w:p>
    <w:p w14:paraId="26CBBDE6" w14:textId="77777777" w:rsidR="00266F52" w:rsidRDefault="00000000">
      <w:pPr>
        <w:spacing w:after="10" w:line="249" w:lineRule="auto"/>
        <w:ind w:left="41" w:right="1"/>
        <w:jc w:val="center"/>
      </w:pPr>
      <w:r>
        <w:t xml:space="preserve">Meeting ID: 823 4636 5185 Passcode: 057260 One tap mobile </w:t>
      </w:r>
    </w:p>
    <w:p w14:paraId="7140E81C" w14:textId="77777777" w:rsidR="00266F52" w:rsidRDefault="00000000">
      <w:pPr>
        <w:spacing w:after="257" w:line="249" w:lineRule="auto"/>
        <w:ind w:left="41"/>
        <w:jc w:val="center"/>
      </w:pPr>
      <w:r>
        <w:t>+16694449171,82346365185#,,,,*057260# US</w:t>
      </w:r>
    </w:p>
    <w:p w14:paraId="621565EB" w14:textId="77777777" w:rsidR="00266F52" w:rsidRDefault="00000000">
      <w:pPr>
        <w:spacing w:after="247" w:line="259" w:lineRule="auto"/>
        <w:ind w:left="41"/>
        <w:jc w:val="center"/>
      </w:pPr>
      <w:r>
        <w:rPr>
          <w:b/>
        </w:rPr>
        <w:t xml:space="preserve">Meeting Decorum: </w:t>
      </w:r>
    </w:p>
    <w:p w14:paraId="69F3CA00" w14:textId="77777777" w:rsidR="00266F52" w:rsidRDefault="00000000">
      <w:pPr>
        <w:ind w:left="-1" w:right="48" w:firstLine="650"/>
      </w:pPr>
      <w:r>
        <w:t xml:space="preserve">Any member of the Behavioral Health Commission may call for decorum due to the  disorderly conduct of meeting participants. Persons who engage in threatening and/or </w:t>
      </w:r>
      <w:r>
        <w:rPr>
          <w:b/>
        </w:rPr>
        <w:t xml:space="preserve">Item 1.0 Call to Order, Roll Call </w:t>
      </w:r>
      <w:r>
        <w:t xml:space="preserve">menacing behavior may be asked to leave. </w:t>
      </w:r>
    </w:p>
    <w:p w14:paraId="489955D7" w14:textId="77777777" w:rsidR="00266F52" w:rsidRDefault="00000000">
      <w:pPr>
        <w:spacing w:after="222" w:line="238" w:lineRule="auto"/>
        <w:ind w:left="734" w:right="130" w:firstLine="0"/>
        <w:jc w:val="both"/>
      </w:pPr>
      <w:r>
        <w:t>Executive Committee Members Include:</w:t>
      </w:r>
      <w:r>
        <w:rPr>
          <w:b/>
        </w:rPr>
        <w:t xml:space="preserve"> </w:t>
      </w:r>
      <w:r>
        <w:t>Co-Chair Kescha S. Mason (she/her) Co-Chair Liza Murawski (she/her), Vice Chair Lisa Wynn (she/her) Harriette Stallworth Stevens, EdD (she/her), and Lisa Williams (she/her)</w:t>
      </w:r>
      <w:r>
        <w:rPr>
          <w:b/>
        </w:rPr>
        <w:t xml:space="preserve"> </w:t>
      </w:r>
    </w:p>
    <w:p w14:paraId="3D7EEBE7" w14:textId="77777777" w:rsidR="00266F52" w:rsidRDefault="00000000">
      <w:pPr>
        <w:spacing w:after="33" w:line="259" w:lineRule="auto"/>
        <w:ind w:left="14" w:firstLine="0"/>
      </w:pPr>
      <w:r>
        <w:rPr>
          <w:b/>
        </w:rPr>
        <w:t>Item 2.0 Public Comment for all items not on the agenda</w:t>
      </w:r>
      <w:r>
        <w:t xml:space="preserve"> </w:t>
      </w:r>
      <w:r>
        <w:rPr>
          <w:b/>
        </w:rPr>
        <w:t xml:space="preserve"> </w:t>
      </w:r>
    </w:p>
    <w:p w14:paraId="492CCBBE" w14:textId="77777777" w:rsidR="00266F52" w:rsidRDefault="00000000">
      <w:pPr>
        <w:spacing w:after="270"/>
        <w:ind w:left="9" w:right="48"/>
      </w:pPr>
      <w:r>
        <w:t xml:space="preserve">(Note: Members of the public may provide public comment for items </w:t>
      </w:r>
      <w:r>
        <w:rPr>
          <w:i/>
        </w:rPr>
        <w:t>on the agenda</w:t>
      </w:r>
      <w:r>
        <w:t xml:space="preserve"> before or during each agenda item, at the option of the commissioner who is chairing the meeting. )</w:t>
      </w:r>
    </w:p>
    <w:p w14:paraId="56911529" w14:textId="77777777" w:rsidR="00266F52" w:rsidRDefault="00000000">
      <w:pPr>
        <w:ind w:left="9" w:right="48"/>
      </w:pPr>
      <w:r>
        <w:rPr>
          <w:b/>
        </w:rPr>
        <w:t>Item 3.0 Minutes:</w:t>
      </w:r>
      <w:r>
        <w:t xml:space="preserve"> Review and adopt October 7, 2025, Executive Committee Meeting </w:t>
      </w:r>
    </w:p>
    <w:p w14:paraId="16E59745" w14:textId="77777777" w:rsidR="00266F52" w:rsidRDefault="00000000">
      <w:pPr>
        <w:ind w:left="9" w:right="48"/>
      </w:pPr>
      <w:r>
        <w:t xml:space="preserve">Minutes [See Attachments] </w:t>
      </w:r>
      <w:r>
        <w:rPr>
          <w:b/>
        </w:rPr>
        <w:t xml:space="preserve">[Action Item]  </w:t>
      </w:r>
      <w:r>
        <w:rPr>
          <w:i/>
        </w:rPr>
        <w:t xml:space="preserve"> </w:t>
      </w:r>
    </w:p>
    <w:p w14:paraId="00E8EF96" w14:textId="77777777" w:rsidR="00266F52" w:rsidRDefault="00000000">
      <w:pPr>
        <w:ind w:left="9" w:right="48"/>
      </w:pPr>
      <w:r>
        <w:rPr>
          <w:b/>
        </w:rPr>
        <w:t>Item 4.0  Recommendations for Removal of Commissioners</w:t>
      </w:r>
      <w:r>
        <w:t xml:space="preserve"> | Executive Committee members may consider motions to refer to the full Commission for a vote, the recommendation to the </w:t>
      </w:r>
      <w:r>
        <w:lastRenderedPageBreak/>
        <w:t xml:space="preserve">Board of Supervisors to remove the following Commissioners. Consideration should be given to each item individually. Related code/bylaws are listed below. </w:t>
      </w:r>
    </w:p>
    <w:p w14:paraId="033C05D8" w14:textId="77777777" w:rsidR="00266F52" w:rsidRDefault="00000000">
      <w:pPr>
        <w:spacing w:after="0" w:line="259" w:lineRule="auto"/>
        <w:ind w:left="0" w:firstLine="0"/>
      </w:pPr>
      <w:r>
        <w:t xml:space="preserve"> </w:t>
      </w:r>
    </w:p>
    <w:tbl>
      <w:tblPr>
        <w:tblStyle w:val="TableGrid"/>
        <w:tblW w:w="9029" w:type="dxa"/>
        <w:tblInd w:w="180" w:type="dxa"/>
        <w:tblCellMar>
          <w:top w:w="57" w:type="dxa"/>
          <w:left w:w="106" w:type="dxa"/>
          <w:bottom w:w="0" w:type="dxa"/>
          <w:right w:w="115" w:type="dxa"/>
        </w:tblCellMar>
        <w:tblLook w:val="04A0" w:firstRow="1" w:lastRow="0" w:firstColumn="1" w:lastColumn="0" w:noHBand="0" w:noVBand="1"/>
      </w:tblPr>
      <w:tblGrid>
        <w:gridCol w:w="1800"/>
        <w:gridCol w:w="2071"/>
        <w:gridCol w:w="5158"/>
      </w:tblGrid>
      <w:tr w:rsidR="00266F52" w14:paraId="0E519609" w14:textId="77777777">
        <w:trPr>
          <w:trHeight w:val="468"/>
        </w:trPr>
        <w:tc>
          <w:tcPr>
            <w:tcW w:w="1800" w:type="dxa"/>
            <w:tcBorders>
              <w:top w:val="single" w:sz="4" w:space="0" w:color="000000"/>
              <w:left w:val="single" w:sz="4" w:space="0" w:color="000000"/>
              <w:bottom w:val="single" w:sz="4" w:space="0" w:color="000000"/>
              <w:right w:val="single" w:sz="4" w:space="0" w:color="000000"/>
            </w:tcBorders>
          </w:tcPr>
          <w:p w14:paraId="30B8D35D" w14:textId="77777777" w:rsidR="00266F52" w:rsidRDefault="00000000">
            <w:pPr>
              <w:spacing w:after="0" w:line="259" w:lineRule="auto"/>
              <w:ind w:left="72" w:firstLine="0"/>
            </w:pPr>
            <w:r>
              <w:rPr>
                <w:b/>
              </w:rPr>
              <w:t xml:space="preserve">Action Items </w:t>
            </w:r>
          </w:p>
        </w:tc>
        <w:tc>
          <w:tcPr>
            <w:tcW w:w="2071" w:type="dxa"/>
            <w:tcBorders>
              <w:top w:val="single" w:sz="4" w:space="0" w:color="000000"/>
              <w:left w:val="single" w:sz="4" w:space="0" w:color="000000"/>
              <w:bottom w:val="single" w:sz="4" w:space="0" w:color="000000"/>
              <w:right w:val="single" w:sz="4" w:space="0" w:color="000000"/>
            </w:tcBorders>
          </w:tcPr>
          <w:p w14:paraId="3D9155FC" w14:textId="77777777" w:rsidR="00266F52" w:rsidRDefault="00000000">
            <w:pPr>
              <w:spacing w:after="0" w:line="259" w:lineRule="auto"/>
              <w:ind w:left="2" w:firstLine="0"/>
            </w:pPr>
            <w:r>
              <w:rPr>
                <w:b/>
              </w:rPr>
              <w:t xml:space="preserve">Commissioner </w:t>
            </w:r>
          </w:p>
        </w:tc>
        <w:tc>
          <w:tcPr>
            <w:tcW w:w="5158" w:type="dxa"/>
            <w:tcBorders>
              <w:top w:val="single" w:sz="4" w:space="0" w:color="000000"/>
              <w:left w:val="single" w:sz="4" w:space="0" w:color="000000"/>
              <w:bottom w:val="single" w:sz="4" w:space="0" w:color="000000"/>
              <w:right w:val="single" w:sz="4" w:space="0" w:color="000000"/>
            </w:tcBorders>
          </w:tcPr>
          <w:p w14:paraId="0B9C82C6" w14:textId="77777777" w:rsidR="00266F52" w:rsidRDefault="00000000">
            <w:pPr>
              <w:spacing w:after="0" w:line="259" w:lineRule="auto"/>
              <w:ind w:left="0" w:firstLine="0"/>
            </w:pPr>
            <w:r>
              <w:rPr>
                <w:b/>
              </w:rPr>
              <w:t xml:space="preserve">Reason for Recommendation for Removal </w:t>
            </w:r>
          </w:p>
        </w:tc>
      </w:tr>
      <w:tr w:rsidR="00266F52" w14:paraId="1C658914" w14:textId="77777777">
        <w:trPr>
          <w:trHeight w:val="559"/>
        </w:trPr>
        <w:tc>
          <w:tcPr>
            <w:tcW w:w="1800" w:type="dxa"/>
            <w:tcBorders>
              <w:top w:val="single" w:sz="4" w:space="0" w:color="000000"/>
              <w:left w:val="single" w:sz="4" w:space="0" w:color="000000"/>
              <w:bottom w:val="single" w:sz="4" w:space="0" w:color="000000"/>
              <w:right w:val="single" w:sz="4" w:space="0" w:color="000000"/>
            </w:tcBorders>
          </w:tcPr>
          <w:p w14:paraId="6AF5A245" w14:textId="77777777" w:rsidR="00266F52" w:rsidRDefault="00000000">
            <w:pPr>
              <w:spacing w:after="0" w:line="259" w:lineRule="auto"/>
              <w:ind w:left="38" w:firstLine="266"/>
            </w:pPr>
            <w:r>
              <w:rPr>
                <w:b/>
              </w:rPr>
              <w:t xml:space="preserve">Item 4.1 [Action Item] </w:t>
            </w:r>
          </w:p>
        </w:tc>
        <w:tc>
          <w:tcPr>
            <w:tcW w:w="2071" w:type="dxa"/>
            <w:tcBorders>
              <w:top w:val="single" w:sz="4" w:space="0" w:color="000000"/>
              <w:left w:val="single" w:sz="4" w:space="0" w:color="000000"/>
              <w:bottom w:val="single" w:sz="4" w:space="0" w:color="000000"/>
              <w:right w:val="single" w:sz="4" w:space="0" w:color="000000"/>
            </w:tcBorders>
            <w:vAlign w:val="center"/>
          </w:tcPr>
          <w:p w14:paraId="6C5F2A73" w14:textId="77777777" w:rsidR="00266F52" w:rsidRDefault="00000000">
            <w:pPr>
              <w:spacing w:after="0" w:line="259" w:lineRule="auto"/>
              <w:ind w:left="2" w:firstLine="0"/>
            </w:pPr>
            <w:r>
              <w:t xml:space="preserve">Alex Humphrey </w:t>
            </w:r>
          </w:p>
        </w:tc>
        <w:tc>
          <w:tcPr>
            <w:tcW w:w="5158" w:type="dxa"/>
            <w:tcBorders>
              <w:top w:val="single" w:sz="4" w:space="0" w:color="000000"/>
              <w:left w:val="single" w:sz="4" w:space="0" w:color="000000"/>
              <w:bottom w:val="single" w:sz="4" w:space="0" w:color="000000"/>
              <w:right w:val="single" w:sz="4" w:space="0" w:color="000000"/>
            </w:tcBorders>
          </w:tcPr>
          <w:p w14:paraId="19EC6182" w14:textId="77777777" w:rsidR="00266F52" w:rsidRDefault="00000000">
            <w:pPr>
              <w:spacing w:after="0" w:line="259" w:lineRule="auto"/>
              <w:ind w:left="0" w:firstLine="0"/>
            </w:pPr>
            <w:r>
              <w:t xml:space="preserve">Conduct that is seriously disruptive to the functioning of the Behavioral Health Commission </w:t>
            </w:r>
          </w:p>
        </w:tc>
      </w:tr>
      <w:tr w:rsidR="00266F52" w14:paraId="7443512A" w14:textId="77777777">
        <w:trPr>
          <w:trHeight w:val="562"/>
        </w:trPr>
        <w:tc>
          <w:tcPr>
            <w:tcW w:w="1800" w:type="dxa"/>
            <w:tcBorders>
              <w:top w:val="single" w:sz="4" w:space="0" w:color="000000"/>
              <w:left w:val="single" w:sz="4" w:space="0" w:color="000000"/>
              <w:bottom w:val="single" w:sz="4" w:space="0" w:color="000000"/>
              <w:right w:val="single" w:sz="4" w:space="0" w:color="000000"/>
            </w:tcBorders>
          </w:tcPr>
          <w:p w14:paraId="7E48775D" w14:textId="77777777" w:rsidR="00266F52" w:rsidRDefault="00000000">
            <w:pPr>
              <w:spacing w:after="0" w:line="259" w:lineRule="auto"/>
              <w:ind w:left="38" w:firstLine="266"/>
            </w:pPr>
            <w:r>
              <w:rPr>
                <w:b/>
              </w:rPr>
              <w:t xml:space="preserve">Item 4.2 [Action Item] </w:t>
            </w:r>
          </w:p>
        </w:tc>
        <w:tc>
          <w:tcPr>
            <w:tcW w:w="2071" w:type="dxa"/>
            <w:tcBorders>
              <w:top w:val="single" w:sz="4" w:space="0" w:color="000000"/>
              <w:left w:val="single" w:sz="4" w:space="0" w:color="000000"/>
              <w:bottom w:val="single" w:sz="4" w:space="0" w:color="000000"/>
              <w:right w:val="single" w:sz="4" w:space="0" w:color="000000"/>
            </w:tcBorders>
          </w:tcPr>
          <w:p w14:paraId="3D182658" w14:textId="77777777" w:rsidR="00266F52" w:rsidRDefault="00000000">
            <w:pPr>
              <w:spacing w:after="0" w:line="259" w:lineRule="auto"/>
              <w:ind w:left="2" w:firstLine="0"/>
            </w:pPr>
            <w:r>
              <w:t xml:space="preserve">Carletta </w:t>
            </w:r>
            <w:proofErr w:type="spellStart"/>
            <w:r>
              <w:t>JacksonLane</w:t>
            </w:r>
            <w:proofErr w:type="spellEnd"/>
            <w:r>
              <w:t xml:space="preserve"> </w:t>
            </w:r>
          </w:p>
        </w:tc>
        <w:tc>
          <w:tcPr>
            <w:tcW w:w="5158" w:type="dxa"/>
            <w:tcBorders>
              <w:top w:val="single" w:sz="4" w:space="0" w:color="000000"/>
              <w:left w:val="single" w:sz="4" w:space="0" w:color="000000"/>
              <w:bottom w:val="single" w:sz="4" w:space="0" w:color="000000"/>
              <w:right w:val="single" w:sz="4" w:space="0" w:color="000000"/>
            </w:tcBorders>
          </w:tcPr>
          <w:p w14:paraId="6283C5AC" w14:textId="77777777" w:rsidR="00266F52" w:rsidRDefault="00000000">
            <w:pPr>
              <w:spacing w:after="0" w:line="259" w:lineRule="auto"/>
              <w:ind w:left="0" w:right="45" w:firstLine="0"/>
            </w:pPr>
            <w:r>
              <w:t xml:space="preserve">Has been absent for four meetings in one 12month period </w:t>
            </w:r>
          </w:p>
        </w:tc>
      </w:tr>
      <w:tr w:rsidR="00266F52" w14:paraId="1F33EE2D" w14:textId="77777777">
        <w:trPr>
          <w:trHeight w:val="559"/>
        </w:trPr>
        <w:tc>
          <w:tcPr>
            <w:tcW w:w="1800" w:type="dxa"/>
            <w:tcBorders>
              <w:top w:val="single" w:sz="4" w:space="0" w:color="000000"/>
              <w:left w:val="single" w:sz="4" w:space="0" w:color="000000"/>
              <w:bottom w:val="single" w:sz="4" w:space="0" w:color="000000"/>
              <w:right w:val="single" w:sz="4" w:space="0" w:color="000000"/>
            </w:tcBorders>
          </w:tcPr>
          <w:p w14:paraId="558DB7DC" w14:textId="77777777" w:rsidR="00266F52" w:rsidRDefault="00000000">
            <w:pPr>
              <w:spacing w:after="0" w:line="259" w:lineRule="auto"/>
              <w:ind w:left="38" w:firstLine="266"/>
            </w:pPr>
            <w:r>
              <w:rPr>
                <w:b/>
              </w:rPr>
              <w:t xml:space="preserve">Item 4.3 [Action Item] </w:t>
            </w:r>
          </w:p>
        </w:tc>
        <w:tc>
          <w:tcPr>
            <w:tcW w:w="2071" w:type="dxa"/>
            <w:tcBorders>
              <w:top w:val="single" w:sz="4" w:space="0" w:color="000000"/>
              <w:left w:val="single" w:sz="4" w:space="0" w:color="000000"/>
              <w:bottom w:val="single" w:sz="4" w:space="0" w:color="000000"/>
              <w:right w:val="single" w:sz="4" w:space="0" w:color="000000"/>
            </w:tcBorders>
            <w:vAlign w:val="center"/>
          </w:tcPr>
          <w:p w14:paraId="38D359A6" w14:textId="77777777" w:rsidR="00266F52" w:rsidRDefault="00000000">
            <w:pPr>
              <w:spacing w:after="0" w:line="259" w:lineRule="auto"/>
              <w:ind w:left="2" w:firstLine="0"/>
            </w:pPr>
            <w:r>
              <w:t xml:space="preserve">Liza Murawski </w:t>
            </w:r>
          </w:p>
        </w:tc>
        <w:tc>
          <w:tcPr>
            <w:tcW w:w="5158" w:type="dxa"/>
            <w:tcBorders>
              <w:top w:val="single" w:sz="4" w:space="0" w:color="000000"/>
              <w:left w:val="single" w:sz="4" w:space="0" w:color="000000"/>
              <w:bottom w:val="single" w:sz="4" w:space="0" w:color="000000"/>
              <w:right w:val="single" w:sz="4" w:space="0" w:color="000000"/>
            </w:tcBorders>
          </w:tcPr>
          <w:p w14:paraId="1F231045" w14:textId="77777777" w:rsidR="00266F52" w:rsidRDefault="00000000">
            <w:pPr>
              <w:spacing w:after="0" w:line="259" w:lineRule="auto"/>
              <w:ind w:left="0" w:firstLine="0"/>
            </w:pPr>
            <w:r>
              <w:t>Conduct that is seriously disruptive to the functioning of the Behavioral Health Commission</w:t>
            </w:r>
            <w:r>
              <w:rPr>
                <w:b/>
              </w:rPr>
              <w:t xml:space="preserve"> </w:t>
            </w:r>
          </w:p>
        </w:tc>
      </w:tr>
      <w:tr w:rsidR="00266F52" w14:paraId="42FDD540" w14:textId="77777777">
        <w:trPr>
          <w:trHeight w:val="694"/>
        </w:trPr>
        <w:tc>
          <w:tcPr>
            <w:tcW w:w="1800" w:type="dxa"/>
            <w:tcBorders>
              <w:top w:val="single" w:sz="4" w:space="0" w:color="000000"/>
              <w:left w:val="single" w:sz="4" w:space="0" w:color="000000"/>
              <w:bottom w:val="single" w:sz="4" w:space="0" w:color="000000"/>
              <w:right w:val="single" w:sz="4" w:space="0" w:color="000000"/>
            </w:tcBorders>
          </w:tcPr>
          <w:p w14:paraId="2644F649" w14:textId="77777777" w:rsidR="00266F52" w:rsidRDefault="00000000">
            <w:pPr>
              <w:spacing w:after="0" w:line="259" w:lineRule="auto"/>
              <w:ind w:left="38" w:firstLine="266"/>
            </w:pPr>
            <w:r>
              <w:rPr>
                <w:b/>
              </w:rPr>
              <w:t xml:space="preserve">Item 4.4 [Action Item] </w:t>
            </w:r>
          </w:p>
        </w:tc>
        <w:tc>
          <w:tcPr>
            <w:tcW w:w="2071" w:type="dxa"/>
            <w:tcBorders>
              <w:top w:val="single" w:sz="4" w:space="0" w:color="000000"/>
              <w:left w:val="single" w:sz="4" w:space="0" w:color="000000"/>
              <w:bottom w:val="single" w:sz="4" w:space="0" w:color="000000"/>
              <w:right w:val="single" w:sz="4" w:space="0" w:color="000000"/>
            </w:tcBorders>
          </w:tcPr>
          <w:p w14:paraId="3EA9225D" w14:textId="77777777" w:rsidR="00266F52" w:rsidRDefault="00000000">
            <w:pPr>
              <w:spacing w:after="0" w:line="259" w:lineRule="auto"/>
              <w:ind w:left="2" w:firstLine="0"/>
            </w:pPr>
            <w:r>
              <w:t xml:space="preserve">Bahlam Javier </w:t>
            </w:r>
          </w:p>
          <w:p w14:paraId="79982D70" w14:textId="77777777" w:rsidR="00266F52" w:rsidRDefault="00000000">
            <w:pPr>
              <w:spacing w:after="0" w:line="259" w:lineRule="auto"/>
              <w:ind w:left="2" w:firstLine="0"/>
            </w:pPr>
            <w:r>
              <w:t>Vigil</w:t>
            </w:r>
            <w:r>
              <w:rPr>
                <w:b/>
              </w:rPr>
              <w:t xml:space="preserve"> </w:t>
            </w:r>
          </w:p>
        </w:tc>
        <w:tc>
          <w:tcPr>
            <w:tcW w:w="5158" w:type="dxa"/>
            <w:tcBorders>
              <w:top w:val="single" w:sz="4" w:space="0" w:color="000000"/>
              <w:left w:val="single" w:sz="4" w:space="0" w:color="000000"/>
              <w:bottom w:val="single" w:sz="4" w:space="0" w:color="000000"/>
              <w:right w:val="single" w:sz="4" w:space="0" w:color="000000"/>
            </w:tcBorders>
          </w:tcPr>
          <w:p w14:paraId="5E1411DB" w14:textId="77777777" w:rsidR="00266F52" w:rsidRDefault="00000000">
            <w:pPr>
              <w:spacing w:after="0" w:line="259" w:lineRule="auto"/>
              <w:ind w:left="0" w:right="45" w:firstLine="0"/>
            </w:pPr>
            <w:r>
              <w:t>Has been absent for four meetings in one 12month period</w:t>
            </w:r>
            <w:r>
              <w:rPr>
                <w:b/>
              </w:rPr>
              <w:t xml:space="preserve"> </w:t>
            </w:r>
          </w:p>
        </w:tc>
      </w:tr>
    </w:tbl>
    <w:p w14:paraId="1EEAD829" w14:textId="77777777" w:rsidR="00266F52" w:rsidRDefault="00000000">
      <w:pPr>
        <w:spacing w:after="0" w:line="259" w:lineRule="auto"/>
        <w:ind w:left="0" w:firstLine="0"/>
      </w:pPr>
      <w:r>
        <w:rPr>
          <w:b/>
        </w:rPr>
        <w:t xml:space="preserve"> </w:t>
      </w:r>
    </w:p>
    <w:p w14:paraId="3273638E" w14:textId="77777777" w:rsidR="00266F52" w:rsidRDefault="00000000">
      <w:pPr>
        <w:spacing w:after="0" w:line="259" w:lineRule="auto"/>
        <w:ind w:left="0" w:firstLine="0"/>
      </w:pPr>
      <w:r>
        <w:rPr>
          <w:b/>
        </w:rPr>
        <w:t xml:space="preserve"> </w:t>
      </w:r>
    </w:p>
    <w:p w14:paraId="0FBEFD14" w14:textId="77777777" w:rsidR="00266F52" w:rsidRDefault="00000000">
      <w:pPr>
        <w:ind w:left="9" w:right="48"/>
      </w:pPr>
      <w:r>
        <w:t>Related code/bylaws:</w:t>
      </w:r>
      <w:r>
        <w:rPr>
          <w:b/>
        </w:rPr>
        <w:t xml:space="preserve"> </w:t>
      </w:r>
    </w:p>
    <w:p w14:paraId="2CFFAE7A" w14:textId="77777777" w:rsidR="00266F52" w:rsidRDefault="00000000">
      <w:pPr>
        <w:numPr>
          <w:ilvl w:val="0"/>
          <w:numId w:val="1"/>
        </w:numPr>
        <w:ind w:right="136" w:hanging="360"/>
      </w:pPr>
      <w:hyperlink r:id="rId10">
        <w:r>
          <w:rPr>
            <w:color w:val="0070C0"/>
            <w:u w:val="single" w:color="0070C0"/>
          </w:rPr>
          <w:t>City and County Ordinance No. 10-24, SEC. 15.13.(b)</w:t>
        </w:r>
      </w:hyperlink>
      <w:hyperlink r:id="rId11">
        <w:r>
          <w:t xml:space="preserve"> </w:t>
        </w:r>
      </w:hyperlink>
      <w:r>
        <w:t xml:space="preserve">Behavioral Health Commission - Terms of Removal: </w:t>
      </w:r>
      <w:r>
        <w:rPr>
          <w:u w:val="single" w:color="000000"/>
        </w:rPr>
        <w:t>A member shall be removed from office if the member is absent for</w:t>
      </w:r>
      <w:r>
        <w:t xml:space="preserve"> </w:t>
      </w:r>
      <w:r>
        <w:rPr>
          <w:u w:val="single" w:color="000000"/>
        </w:rPr>
        <w:t>four meetings in one 12-month period, unless the Commission grants that person a leave</w:t>
      </w:r>
      <w:r>
        <w:t xml:space="preserve"> </w:t>
      </w:r>
      <w:r>
        <w:rPr>
          <w:u w:val="single" w:color="000000"/>
        </w:rPr>
        <w:t>of absence</w:t>
      </w:r>
      <w:r>
        <w:t xml:space="preserve">. The Commission may grant leaves of absence for one or more meetings. Upon determining that a member has been absent for four meetings in a 12-month period and that no leave of absence had been granted for these meetings, the Commission shall provide written notification to the Board of Supervisors. Upon receipt of the notification, the position shall be deemed vacant. </w:t>
      </w:r>
    </w:p>
    <w:p w14:paraId="67D5395D" w14:textId="77777777" w:rsidR="00266F52" w:rsidRDefault="00000000">
      <w:pPr>
        <w:numPr>
          <w:ilvl w:val="0"/>
          <w:numId w:val="1"/>
        </w:numPr>
        <w:ind w:right="136" w:hanging="360"/>
      </w:pPr>
      <w:hyperlink r:id="rId12">
        <w:r>
          <w:rPr>
            <w:color w:val="0070C0"/>
            <w:u w:val="single" w:color="0070C0"/>
          </w:rPr>
          <w:t>City and County Ordinance No. 10-24, SEC. 15.13.(c)</w:t>
        </w:r>
      </w:hyperlink>
      <w:hyperlink r:id="rId13">
        <w:r>
          <w:t xml:space="preserve"> </w:t>
        </w:r>
      </w:hyperlink>
      <w:r>
        <w:rPr>
          <w:u w:val="single" w:color="000000"/>
        </w:rPr>
        <w:t>The Commission may</w:t>
      </w:r>
      <w:r>
        <w:t xml:space="preserve"> </w:t>
      </w:r>
      <w:r>
        <w:rPr>
          <w:u w:val="single" w:color="000000"/>
        </w:rPr>
        <w:t>recommend to the Board of Supervisors that a member be removed from the</w:t>
      </w:r>
      <w:r>
        <w:t xml:space="preserve"> </w:t>
      </w:r>
      <w:r>
        <w:rPr>
          <w:u w:val="single" w:color="000000"/>
        </w:rPr>
        <w:t>Commission on the grounds that the member’s conduct is seriously disruptive of the</w:t>
      </w:r>
      <w:r>
        <w:t xml:space="preserve"> </w:t>
      </w:r>
      <w:r>
        <w:rPr>
          <w:u w:val="single" w:color="000000"/>
        </w:rPr>
        <w:t>functioning of the Commission.</w:t>
      </w:r>
      <w:r>
        <w:t xml:space="preserve"> The Board of Supervisors may remove a member from the Commission for cause or upon the Commission’s recommendation if it determines that the member’s conduct is seriously disruptive of the functioning of the Commission. </w:t>
      </w:r>
    </w:p>
    <w:p w14:paraId="7A0683B7" w14:textId="77777777" w:rsidR="00266F52" w:rsidRDefault="00000000">
      <w:pPr>
        <w:numPr>
          <w:ilvl w:val="0"/>
          <w:numId w:val="1"/>
        </w:numPr>
        <w:spacing w:after="35" w:line="237" w:lineRule="auto"/>
        <w:ind w:right="136" w:hanging="360"/>
      </w:pPr>
      <w:r>
        <w:t xml:space="preserve">Bylaws (Approved by BHC), Article IX, Item 2: </w:t>
      </w:r>
      <w:r>
        <w:rPr>
          <w:u w:val="single" w:color="000000"/>
        </w:rPr>
        <w:t>A BHC member may be deemed by the</w:t>
      </w:r>
      <w:r>
        <w:t xml:space="preserve"> </w:t>
      </w:r>
      <w:r>
        <w:rPr>
          <w:u w:val="single" w:color="000000"/>
        </w:rPr>
        <w:t>Executive Committee to have ceased to discharge the duties of a BHC member based on</w:t>
      </w:r>
      <w:r>
        <w:t xml:space="preserve"> </w:t>
      </w:r>
      <w:r>
        <w:rPr>
          <w:u w:val="single" w:color="000000"/>
        </w:rPr>
        <w:t>lack of attendance or if the member’s conduct is seriously disruptive of the functioning</w:t>
      </w:r>
      <w:r>
        <w:t xml:space="preserve"> </w:t>
      </w:r>
      <w:r>
        <w:rPr>
          <w:u w:val="single" w:color="000000"/>
        </w:rPr>
        <w:t>of the BHC. If after review, the Executive Committee determines by majority vote of the</w:t>
      </w:r>
      <w:r>
        <w:t xml:space="preserve"> </w:t>
      </w:r>
      <w:r>
        <w:rPr>
          <w:u w:val="single" w:color="000000"/>
        </w:rPr>
        <w:t>Executive Committee members present, that they should be referred to the full BHC for a</w:t>
      </w:r>
      <w:r>
        <w:t xml:space="preserve"> </w:t>
      </w:r>
      <w:r>
        <w:rPr>
          <w:u w:val="single" w:color="000000"/>
        </w:rPr>
        <w:t>vote, the matter will be brought will be made to the full BHC as an action item</w:t>
      </w:r>
      <w:r>
        <w:t xml:space="preserve">. The BHC may recommend the removal of the BHC member to the Board of Supervisors if </w:t>
      </w:r>
      <w:proofErr w:type="spellStart"/>
      <w:r>
        <w:t>twothirds</w:t>
      </w:r>
      <w:proofErr w:type="spellEnd"/>
      <w:r>
        <w:t xml:space="preserve"> (⅔) of those Commissioners in attendance at a regular or special meeting at which a quorum is present vote in favor of making the recommendation for removal to the Board of Supervisors. </w:t>
      </w:r>
    </w:p>
    <w:p w14:paraId="66F80900" w14:textId="77777777" w:rsidR="00266F52" w:rsidRDefault="00000000">
      <w:pPr>
        <w:spacing w:after="0" w:line="259" w:lineRule="auto"/>
        <w:ind w:left="0" w:firstLine="0"/>
      </w:pPr>
      <w:r>
        <w:rPr>
          <w:b/>
        </w:rPr>
        <w:t xml:space="preserve"> </w:t>
      </w:r>
      <w:r>
        <w:rPr>
          <w:b/>
        </w:rPr>
        <w:tab/>
        <w:t xml:space="preserve"> </w:t>
      </w:r>
    </w:p>
    <w:p w14:paraId="547E3936" w14:textId="77777777" w:rsidR="00266F52" w:rsidRDefault="00000000">
      <w:pPr>
        <w:ind w:left="9" w:right="48"/>
      </w:pPr>
      <w:r>
        <w:rPr>
          <w:b/>
        </w:rPr>
        <w:t xml:space="preserve">Item 5.0 </w:t>
      </w:r>
      <w:r>
        <w:t xml:space="preserve">Recommendations of new Behavioral Health Commissioners for consideration of recommendation by the BHC for appointment by the Board of Supervisors. </w:t>
      </w:r>
      <w:r>
        <w:rPr>
          <w:b/>
        </w:rPr>
        <w:t xml:space="preserve">[Discussion and/or Action]  </w:t>
      </w:r>
    </w:p>
    <w:p w14:paraId="0965C242" w14:textId="68B46AC5" w:rsidR="00266F52" w:rsidRDefault="00000000">
      <w:pPr>
        <w:spacing w:after="0" w:line="237" w:lineRule="auto"/>
        <w:ind w:left="720" w:right="-10" w:firstLine="0"/>
      </w:pPr>
      <w:r>
        <w:t xml:space="preserve">Related Bylaws: Article IX, Item 3: If a vacancy occurs due to the occurrence of any of the events described, the Secretary or staff shall advise the BHC. </w:t>
      </w:r>
      <w:r>
        <w:rPr>
          <w:u w:val="single" w:color="000000"/>
        </w:rPr>
        <w:t>The Executive</w:t>
      </w:r>
      <w:r>
        <w:t xml:space="preserve"> </w:t>
      </w:r>
      <w:r>
        <w:rPr>
          <w:u w:val="single" w:color="000000"/>
        </w:rPr>
        <w:lastRenderedPageBreak/>
        <w:t xml:space="preserve">Committee may commence </w:t>
      </w:r>
      <w:r w:rsidR="00EE3791">
        <w:rPr>
          <w:u w:val="single" w:color="000000"/>
        </w:rPr>
        <w:t>recruitment</w:t>
      </w:r>
      <w:r>
        <w:rPr>
          <w:u w:val="single" w:color="000000"/>
        </w:rPr>
        <w:t xml:space="preserve"> for a replacement and make recommendations</w:t>
      </w:r>
      <w:r>
        <w:t xml:space="preserve"> </w:t>
      </w:r>
      <w:r>
        <w:rPr>
          <w:u w:val="single" w:color="000000"/>
        </w:rPr>
        <w:t xml:space="preserve">to the BHC, which may in </w:t>
      </w:r>
      <w:r w:rsidR="00EE3791">
        <w:rPr>
          <w:u w:val="single" w:color="000000"/>
        </w:rPr>
        <w:t>turn</w:t>
      </w:r>
      <w:r>
        <w:rPr>
          <w:u w:val="single" w:color="000000"/>
        </w:rPr>
        <w:t xml:space="preserve"> make recommendations to the Board of Supervisors</w:t>
      </w:r>
      <w:r>
        <w:t xml:space="preserve">.  </w:t>
      </w:r>
    </w:p>
    <w:p w14:paraId="1FDA1833" w14:textId="77777777" w:rsidR="00266F52" w:rsidRDefault="00000000">
      <w:pPr>
        <w:spacing w:after="0" w:line="259" w:lineRule="auto"/>
        <w:ind w:left="0" w:firstLine="0"/>
      </w:pPr>
      <w:r>
        <w:rPr>
          <w:b/>
        </w:rPr>
        <w:t xml:space="preserve"> </w:t>
      </w:r>
    </w:p>
    <w:p w14:paraId="0CDF152D" w14:textId="77777777" w:rsidR="00266F52" w:rsidRDefault="00000000">
      <w:pPr>
        <w:ind w:left="9" w:right="48"/>
      </w:pPr>
      <w:r>
        <w:rPr>
          <w:b/>
        </w:rPr>
        <w:t xml:space="preserve">Adjournment: </w:t>
      </w:r>
      <w:r>
        <w:t xml:space="preserve">(Motion to adjourn and reminder of the next meeting) </w:t>
      </w:r>
    </w:p>
    <w:p w14:paraId="653C1F1C" w14:textId="77777777" w:rsidR="00266F52" w:rsidRDefault="00000000">
      <w:pPr>
        <w:spacing w:after="0" w:line="259" w:lineRule="auto"/>
        <w:ind w:left="0" w:firstLine="0"/>
      </w:pPr>
      <w:r>
        <w:t xml:space="preserve"> </w:t>
      </w:r>
    </w:p>
    <w:p w14:paraId="4E82651D" w14:textId="77777777" w:rsidR="00266F52" w:rsidRDefault="00000000">
      <w:pPr>
        <w:spacing w:after="0" w:line="259" w:lineRule="auto"/>
        <w:ind w:left="41" w:right="32"/>
        <w:jc w:val="center"/>
      </w:pPr>
      <w:r>
        <w:rPr>
          <w:b/>
        </w:rPr>
        <w:t>DISABILITY ACCESS</w:t>
      </w:r>
      <w:r>
        <w:t xml:space="preserve"> </w:t>
      </w:r>
    </w:p>
    <w:p w14:paraId="7B6DF19B" w14:textId="77777777" w:rsidR="00266F52" w:rsidRDefault="00000000">
      <w:pPr>
        <w:spacing w:after="0" w:line="259" w:lineRule="auto"/>
        <w:ind w:left="60" w:firstLine="0"/>
        <w:jc w:val="center"/>
      </w:pPr>
      <w:r>
        <w:rPr>
          <w:b/>
        </w:rPr>
        <w:t xml:space="preserve"> </w:t>
      </w:r>
    </w:p>
    <w:p w14:paraId="43DAD2FA" w14:textId="46F085FD" w:rsidR="00266F52" w:rsidRDefault="00000000">
      <w:pPr>
        <w:ind w:left="9" w:right="48"/>
      </w:pPr>
      <w:r>
        <w:t xml:space="preserve">The ADA is a civil rights law that protects people with different types of disabilities </w:t>
      </w:r>
      <w:r w:rsidR="00EE3791">
        <w:t>from discrimination</w:t>
      </w:r>
      <w:r>
        <w:t xml:space="preserve"> in all aspects of social life. More specifically, Title II of the ADA requires that </w:t>
      </w:r>
      <w:r w:rsidR="00EE3791">
        <w:t>all Implementation</w:t>
      </w:r>
      <w:r>
        <w:t xml:space="preserve"> Committee Agenda, programs offered through the state and local </w:t>
      </w:r>
      <w:r w:rsidR="00EE3791">
        <w:t>government such</w:t>
      </w:r>
      <w:r>
        <w:t xml:space="preserve"> as the City and County of San Francisco must be accessible and usable to people </w:t>
      </w:r>
      <w:r w:rsidR="00EE3791">
        <w:t>with disabilities</w:t>
      </w:r>
      <w:r>
        <w:t xml:space="preserve">. The ADA and City policy require that people with disabilities have equal access </w:t>
      </w:r>
      <w:r w:rsidR="00EE3791">
        <w:t>to all</w:t>
      </w:r>
      <w:r>
        <w:t xml:space="preserve"> City services, activities, and benefits. People with disabilities must have an equal opportunity to participate in the programs Behavioral Health Commission Meetings and services </w:t>
      </w:r>
      <w:r w:rsidR="00EE3791">
        <w:t>offered through</w:t>
      </w:r>
      <w:r>
        <w:t xml:space="preserve"> the City and County of San Francisco. If you believe your rights under the ADA </w:t>
      </w:r>
      <w:r w:rsidR="00EE3791">
        <w:t>are violated</w:t>
      </w:r>
      <w:r>
        <w:t xml:space="preserve">, contact the ADA Coordinator. Ordinance 90-10 added Section 2A.22.3 to the  Administrative Code, which adopted a Citywide Americans with Disabilities Act Reasonable  Modification Policy that requires City departments to: provide notice to the public of the right to request reasonable modification; (2) respond promptly to such requests; (3) provide appropriate auxiliary aids and services to people with disabilities to ensure effective communication; and (4) train staff to respond to requests from the public for Behavioral Health Commission Meeting reasonable modification, and that requires the Mayor's Office on Disability to provide technical assistance to City department responding to requests from the public for reasonable modifications. </w:t>
      </w:r>
    </w:p>
    <w:p w14:paraId="3CDC8A7A" w14:textId="77777777" w:rsidR="00266F52" w:rsidRDefault="00000000">
      <w:pPr>
        <w:spacing w:after="0" w:line="259" w:lineRule="auto"/>
        <w:ind w:left="0" w:firstLine="0"/>
      </w:pPr>
      <w:r>
        <w:t xml:space="preserve"> </w:t>
      </w:r>
    </w:p>
    <w:p w14:paraId="73B932FF" w14:textId="77777777" w:rsidR="00266F52" w:rsidRDefault="00000000">
      <w:pPr>
        <w:spacing w:after="10" w:line="249" w:lineRule="auto"/>
        <w:ind w:left="41" w:right="34"/>
        <w:jc w:val="center"/>
      </w:pPr>
      <w:r>
        <w:t xml:space="preserve">Disability Accommodations: </w:t>
      </w:r>
    </w:p>
    <w:p w14:paraId="22E6682F" w14:textId="33EE45B9" w:rsidR="00266F52" w:rsidRDefault="00000000">
      <w:pPr>
        <w:ind w:left="9" w:right="114"/>
      </w:pPr>
      <w:r>
        <w:t xml:space="preserve">To request assistive listening devices, real time captioning, sign language interpreters, </w:t>
      </w:r>
      <w:r w:rsidR="00EE3791">
        <w:t>readers, large</w:t>
      </w:r>
      <w:r>
        <w:t xml:space="preserve"> print agendas or other accommodations, please contact the Commission Secretary at  (415) 558-6309, or </w:t>
      </w:r>
      <w:r>
        <w:rPr>
          <w:color w:val="0000FF"/>
          <w:u w:val="single" w:color="0000FF"/>
        </w:rPr>
        <w:t>commissions.secretary@sfgov.org</w:t>
      </w:r>
      <w:r>
        <w:t xml:space="preserve"> at least 72 hours in advance of </w:t>
      </w:r>
      <w:r w:rsidR="00EE3791">
        <w:t>the hearing</w:t>
      </w:r>
      <w:r>
        <w:t xml:space="preserve"> to help ensure availability. </w:t>
      </w:r>
    </w:p>
    <w:p w14:paraId="7C379D2D" w14:textId="77777777" w:rsidR="00266F52" w:rsidRDefault="00000000">
      <w:pPr>
        <w:spacing w:after="10" w:line="249" w:lineRule="auto"/>
        <w:ind w:left="41" w:right="29"/>
        <w:jc w:val="center"/>
      </w:pPr>
      <w:r>
        <w:t xml:space="preserve">Language Assistance: </w:t>
      </w:r>
    </w:p>
    <w:p w14:paraId="7C95B9D6" w14:textId="1AA82C15" w:rsidR="00266F52" w:rsidRDefault="00000000">
      <w:pPr>
        <w:ind w:left="9" w:right="48"/>
      </w:pPr>
      <w:r>
        <w:t xml:space="preserve">To request an interpreter for a specific item during the hearing, please contact the </w:t>
      </w:r>
      <w:r w:rsidR="00EE3791">
        <w:t>Commission Secretary</w:t>
      </w:r>
      <w:r>
        <w:t xml:space="preserve"> at (415) 558-6309, or </w:t>
      </w:r>
      <w:r>
        <w:rPr>
          <w:color w:val="0000FF"/>
          <w:u w:val="single" w:color="0000FF"/>
        </w:rPr>
        <w:t>commissions.secretary@sfgov.org</w:t>
      </w:r>
      <w:r>
        <w:t xml:space="preserve"> at least 48 hours in advance of the hearing. </w:t>
      </w:r>
    </w:p>
    <w:p w14:paraId="17073590" w14:textId="77777777" w:rsidR="00266F52" w:rsidRDefault="00000000">
      <w:pPr>
        <w:spacing w:after="0" w:line="259" w:lineRule="auto"/>
        <w:ind w:left="0" w:firstLine="0"/>
      </w:pPr>
      <w:r>
        <w:t xml:space="preserve"> </w:t>
      </w:r>
    </w:p>
    <w:p w14:paraId="0A9EA1AB" w14:textId="77777777" w:rsidR="00266F52" w:rsidRDefault="00000000">
      <w:pPr>
        <w:spacing w:after="10" w:line="249" w:lineRule="auto"/>
        <w:ind w:left="41" w:right="32"/>
        <w:jc w:val="center"/>
      </w:pPr>
      <w:r>
        <w:t xml:space="preserve">SPANISH: </w:t>
      </w:r>
    </w:p>
    <w:p w14:paraId="02ACD41F" w14:textId="77777777" w:rsidR="00266F52" w:rsidRDefault="00000000">
      <w:pPr>
        <w:ind w:left="9" w:right="48"/>
      </w:pPr>
      <w:r>
        <w:t xml:space="preserve">Agenda para la Comisión de </w:t>
      </w:r>
      <w:proofErr w:type="spellStart"/>
      <w:r>
        <w:t>Planificación</w:t>
      </w:r>
      <w:proofErr w:type="spellEnd"/>
      <w:r>
        <w:t xml:space="preserve">. Si </w:t>
      </w:r>
      <w:proofErr w:type="spellStart"/>
      <w:r>
        <w:t>desea</w:t>
      </w:r>
      <w:proofErr w:type="spellEnd"/>
      <w:r>
        <w:t xml:space="preserve"> </w:t>
      </w:r>
      <w:proofErr w:type="spellStart"/>
      <w:r>
        <w:t>asistir</w:t>
      </w:r>
      <w:proofErr w:type="spellEnd"/>
      <w:r>
        <w:t xml:space="preserve"> a la audiencia, y </w:t>
      </w:r>
      <w:proofErr w:type="spellStart"/>
      <w:r>
        <w:t>quisiera</w:t>
      </w:r>
      <w:proofErr w:type="spellEnd"/>
      <w:r>
        <w:t xml:space="preserve"> </w:t>
      </w:r>
      <w:proofErr w:type="spellStart"/>
      <w:r>
        <w:t>obtener</w:t>
      </w:r>
      <w:proofErr w:type="spellEnd"/>
      <w:r>
        <w:t xml:space="preserve">  </w:t>
      </w:r>
      <w:proofErr w:type="spellStart"/>
      <w:r>
        <w:t>información</w:t>
      </w:r>
      <w:proofErr w:type="spellEnd"/>
      <w:r>
        <w:t xml:space="preserve"> </w:t>
      </w:r>
      <w:proofErr w:type="spellStart"/>
      <w:r>
        <w:t>en</w:t>
      </w:r>
      <w:proofErr w:type="spellEnd"/>
      <w:r>
        <w:t xml:space="preserve"> Español o </w:t>
      </w:r>
      <w:proofErr w:type="spellStart"/>
      <w:r>
        <w:t>solicitar</w:t>
      </w:r>
      <w:proofErr w:type="spellEnd"/>
      <w:r>
        <w:t xml:space="preserve"> un </w:t>
      </w:r>
      <w:proofErr w:type="spellStart"/>
      <w:r>
        <w:t>aparato</w:t>
      </w:r>
      <w:proofErr w:type="spellEnd"/>
      <w:r>
        <w:t xml:space="preserve"> para </w:t>
      </w:r>
      <w:proofErr w:type="spellStart"/>
      <w:r>
        <w:t>asistencia</w:t>
      </w:r>
      <w:proofErr w:type="spellEnd"/>
      <w:r>
        <w:t xml:space="preserve"> </w:t>
      </w:r>
      <w:proofErr w:type="spellStart"/>
      <w:r>
        <w:t>auditiva</w:t>
      </w:r>
      <w:proofErr w:type="spellEnd"/>
      <w:r>
        <w:t xml:space="preserve">, </w:t>
      </w:r>
      <w:proofErr w:type="spellStart"/>
      <w:r>
        <w:t>llame</w:t>
      </w:r>
      <w:proofErr w:type="spellEnd"/>
      <w:r>
        <w:t xml:space="preserve"> al 415- 558- 6309.  </w:t>
      </w:r>
    </w:p>
    <w:p w14:paraId="3B52692D" w14:textId="77777777" w:rsidR="00266F52" w:rsidRDefault="00000000">
      <w:pPr>
        <w:ind w:left="9" w:right="48"/>
      </w:pPr>
      <w:r>
        <w:t xml:space="preserve">Por favor </w:t>
      </w:r>
      <w:proofErr w:type="spellStart"/>
      <w:r>
        <w:t>llame</w:t>
      </w:r>
      <w:proofErr w:type="spellEnd"/>
      <w:r>
        <w:t xml:space="preserve"> </w:t>
      </w:r>
      <w:proofErr w:type="spellStart"/>
      <w:r>
        <w:t>por</w:t>
      </w:r>
      <w:proofErr w:type="spellEnd"/>
      <w:r>
        <w:t xml:space="preserve"> lo </w:t>
      </w:r>
      <w:proofErr w:type="spellStart"/>
      <w:r>
        <w:t>menos</w:t>
      </w:r>
      <w:proofErr w:type="spellEnd"/>
      <w:r>
        <w:t xml:space="preserve"> 48 horas de </w:t>
      </w:r>
      <w:proofErr w:type="spellStart"/>
      <w:r>
        <w:t>anticipación</w:t>
      </w:r>
      <w:proofErr w:type="spellEnd"/>
      <w:r>
        <w:t xml:space="preserve"> a la audiencia. </w:t>
      </w:r>
    </w:p>
    <w:p w14:paraId="6399BADD" w14:textId="77777777" w:rsidR="00266F52" w:rsidRDefault="00000000">
      <w:pPr>
        <w:spacing w:after="0" w:line="259" w:lineRule="auto"/>
        <w:ind w:left="60" w:firstLine="0"/>
        <w:jc w:val="center"/>
      </w:pPr>
      <w:r>
        <w:t xml:space="preserve"> </w:t>
      </w:r>
    </w:p>
    <w:p w14:paraId="1BA2A720" w14:textId="77777777" w:rsidR="00266F52" w:rsidRDefault="00000000">
      <w:pPr>
        <w:spacing w:after="0" w:line="259" w:lineRule="auto"/>
        <w:ind w:left="3" w:firstLine="0"/>
        <w:jc w:val="center"/>
      </w:pPr>
      <w:r>
        <w:rPr>
          <w:sz w:val="26"/>
        </w:rPr>
        <w:t xml:space="preserve">CHINESE: </w:t>
      </w:r>
    </w:p>
    <w:p w14:paraId="49F22D3F" w14:textId="77777777" w:rsidR="00266F52" w:rsidRDefault="00000000">
      <w:pPr>
        <w:spacing w:after="0" w:line="259" w:lineRule="auto"/>
        <w:ind w:left="363"/>
      </w:pPr>
      <w:proofErr w:type="spellStart"/>
      <w:r>
        <w:rPr>
          <w:rFonts w:ascii="Microsoft YaHei" w:eastAsia="Microsoft YaHei" w:hAnsi="Microsoft YaHei" w:cs="Microsoft YaHei"/>
          <w:sz w:val="26"/>
        </w:rPr>
        <w:t>規劃委員會議程。聽證會上如需要</w:t>
      </w:r>
      <w:proofErr w:type="spellEnd"/>
      <w:r>
        <w:rPr>
          <w:rFonts w:ascii="Microsoft YaHei" w:eastAsia="Microsoft YaHei" w:hAnsi="Microsoft YaHei" w:cs="Microsoft YaHei"/>
          <w:sz w:val="26"/>
        </w:rPr>
        <w:t xml:space="preserve"> </w:t>
      </w:r>
      <w:proofErr w:type="spellStart"/>
      <w:r>
        <w:rPr>
          <w:rFonts w:ascii="Microsoft YaHei" w:eastAsia="Microsoft YaHei" w:hAnsi="Microsoft YaHei" w:cs="Microsoft YaHei"/>
          <w:sz w:val="26"/>
        </w:rPr>
        <w:t>語言協助或要求輔助設備，請致電</w:t>
      </w:r>
      <w:proofErr w:type="spellEnd"/>
      <w:r>
        <w:rPr>
          <w:rFonts w:ascii="Microsoft YaHei" w:eastAsia="Microsoft YaHei" w:hAnsi="Microsoft YaHei" w:cs="Microsoft YaHei"/>
          <w:sz w:val="26"/>
        </w:rPr>
        <w:t xml:space="preserve"> </w:t>
      </w:r>
    </w:p>
    <w:p w14:paraId="6ABEB3AF" w14:textId="77777777" w:rsidR="00266F52" w:rsidRDefault="00000000">
      <w:pPr>
        <w:spacing w:after="0" w:line="259" w:lineRule="auto"/>
        <w:ind w:left="175"/>
      </w:pPr>
      <w:r>
        <w:rPr>
          <w:rFonts w:ascii="Microsoft YaHei" w:eastAsia="Microsoft YaHei" w:hAnsi="Microsoft YaHei" w:cs="Microsoft YaHei"/>
          <w:sz w:val="26"/>
        </w:rPr>
        <w:t xml:space="preserve">415-558- 6309。請 </w:t>
      </w:r>
      <w:proofErr w:type="spellStart"/>
      <w:r>
        <w:rPr>
          <w:rFonts w:ascii="Microsoft YaHei" w:eastAsia="Microsoft YaHei" w:hAnsi="Microsoft YaHei" w:cs="Microsoft YaHei"/>
          <w:sz w:val="26"/>
        </w:rPr>
        <w:t>在聽證會舉行之前的至少</w:t>
      </w:r>
      <w:proofErr w:type="spellEnd"/>
      <w:r>
        <w:rPr>
          <w:rFonts w:ascii="Microsoft YaHei" w:eastAsia="Microsoft YaHei" w:hAnsi="Microsoft YaHei" w:cs="Microsoft YaHei"/>
          <w:sz w:val="26"/>
        </w:rPr>
        <w:t xml:space="preserve"> 48 </w:t>
      </w:r>
      <w:proofErr w:type="spellStart"/>
      <w:r>
        <w:rPr>
          <w:rFonts w:ascii="Microsoft YaHei" w:eastAsia="Microsoft YaHei" w:hAnsi="Microsoft YaHei" w:cs="Microsoft YaHei"/>
          <w:sz w:val="26"/>
        </w:rPr>
        <w:t>個小時提</w:t>
      </w:r>
      <w:proofErr w:type="spellEnd"/>
      <w:r>
        <w:rPr>
          <w:rFonts w:ascii="Microsoft YaHei" w:eastAsia="Microsoft YaHei" w:hAnsi="Microsoft YaHei" w:cs="Microsoft YaHei"/>
          <w:sz w:val="26"/>
        </w:rPr>
        <w:t xml:space="preserve"> </w:t>
      </w:r>
      <w:proofErr w:type="spellStart"/>
      <w:r>
        <w:rPr>
          <w:rFonts w:ascii="Microsoft YaHei" w:eastAsia="Microsoft YaHei" w:hAnsi="Microsoft YaHei" w:cs="Microsoft YaHei"/>
          <w:sz w:val="26"/>
        </w:rPr>
        <w:t>出要求</w:t>
      </w:r>
      <w:proofErr w:type="spellEnd"/>
      <w:r>
        <w:rPr>
          <w:rFonts w:ascii="Microsoft YaHei" w:eastAsia="Microsoft YaHei" w:hAnsi="Microsoft YaHei" w:cs="Microsoft YaHei"/>
          <w:sz w:val="26"/>
        </w:rPr>
        <w:t xml:space="preserve">。 </w:t>
      </w:r>
    </w:p>
    <w:p w14:paraId="31002CB2" w14:textId="77777777" w:rsidR="00266F52" w:rsidRDefault="00000000">
      <w:pPr>
        <w:spacing w:after="0" w:line="259" w:lineRule="auto"/>
        <w:ind w:left="176" w:firstLine="0"/>
        <w:jc w:val="center"/>
      </w:pPr>
      <w:r>
        <w:rPr>
          <w:rFonts w:ascii="Microsoft YaHei" w:eastAsia="Microsoft YaHei" w:hAnsi="Microsoft YaHei" w:cs="Microsoft YaHei"/>
          <w:sz w:val="37"/>
        </w:rPr>
        <w:t xml:space="preserve"> </w:t>
      </w:r>
    </w:p>
    <w:p w14:paraId="6EBF869F" w14:textId="77777777" w:rsidR="00266F52" w:rsidRDefault="00000000">
      <w:pPr>
        <w:spacing w:after="10" w:line="249" w:lineRule="auto"/>
        <w:ind w:left="41" w:right="29"/>
        <w:jc w:val="center"/>
      </w:pPr>
      <w:r>
        <w:t xml:space="preserve">TAGALOG: </w:t>
      </w:r>
    </w:p>
    <w:p w14:paraId="449C796C" w14:textId="77777777" w:rsidR="00266F52" w:rsidRDefault="00000000">
      <w:pPr>
        <w:spacing w:after="10" w:line="249" w:lineRule="auto"/>
        <w:ind w:left="41" w:right="31"/>
        <w:jc w:val="center"/>
      </w:pPr>
      <w:proofErr w:type="spellStart"/>
      <w:r>
        <w:lastRenderedPageBreak/>
        <w:t>Adyenda</w:t>
      </w:r>
      <w:proofErr w:type="spellEnd"/>
      <w:r>
        <w:t xml:space="preserve"> ng </w:t>
      </w:r>
      <w:proofErr w:type="spellStart"/>
      <w:r>
        <w:t>Komisyon</w:t>
      </w:r>
      <w:proofErr w:type="spellEnd"/>
      <w:r>
        <w:t xml:space="preserve"> ng </w:t>
      </w:r>
      <w:proofErr w:type="spellStart"/>
      <w:r>
        <w:t>Pagpaplano</w:t>
      </w:r>
      <w:proofErr w:type="spellEnd"/>
      <w:r>
        <w:t xml:space="preserve">. Para </w:t>
      </w:r>
      <w:proofErr w:type="spellStart"/>
      <w:r>
        <w:t>sa</w:t>
      </w:r>
      <w:proofErr w:type="spellEnd"/>
      <w:r>
        <w:t xml:space="preserve"> </w:t>
      </w:r>
      <w:proofErr w:type="spellStart"/>
      <w:r>
        <w:t>tulong</w:t>
      </w:r>
      <w:proofErr w:type="spellEnd"/>
      <w:r>
        <w:t xml:space="preserve"> </w:t>
      </w:r>
      <w:proofErr w:type="spellStart"/>
      <w:r>
        <w:t>sa</w:t>
      </w:r>
      <w:proofErr w:type="spellEnd"/>
      <w:r>
        <w:t xml:space="preserve"> </w:t>
      </w:r>
      <w:proofErr w:type="spellStart"/>
      <w:r>
        <w:t>lengguwahe</w:t>
      </w:r>
      <w:proofErr w:type="spellEnd"/>
      <w:r>
        <w:t xml:space="preserve"> o para </w:t>
      </w:r>
      <w:proofErr w:type="spellStart"/>
      <w:r>
        <w:t>humiling</w:t>
      </w:r>
      <w:proofErr w:type="spellEnd"/>
      <w:r>
        <w:t xml:space="preserve"> ng  </w:t>
      </w:r>
      <w:proofErr w:type="spellStart"/>
      <w:r>
        <w:t>Pantulong</w:t>
      </w:r>
      <w:proofErr w:type="spellEnd"/>
      <w:r>
        <w:t xml:space="preserve"> </w:t>
      </w:r>
      <w:proofErr w:type="spellStart"/>
      <w:r>
        <w:t>na</w:t>
      </w:r>
      <w:proofErr w:type="spellEnd"/>
      <w:r>
        <w:t xml:space="preserve"> </w:t>
      </w:r>
      <w:proofErr w:type="spellStart"/>
      <w:r>
        <w:t>Kagamitan</w:t>
      </w:r>
      <w:proofErr w:type="spellEnd"/>
      <w:r>
        <w:t xml:space="preserve"> para </w:t>
      </w:r>
      <w:proofErr w:type="spellStart"/>
      <w:r>
        <w:t>sa</w:t>
      </w:r>
      <w:proofErr w:type="spellEnd"/>
      <w:r>
        <w:t xml:space="preserve"> </w:t>
      </w:r>
      <w:proofErr w:type="spellStart"/>
      <w:r>
        <w:t>Pagdinig</w:t>
      </w:r>
      <w:proofErr w:type="spellEnd"/>
      <w:r>
        <w:t xml:space="preserve"> (headset), </w:t>
      </w:r>
      <w:proofErr w:type="spellStart"/>
      <w:r>
        <w:t>mangyari</w:t>
      </w:r>
      <w:proofErr w:type="spellEnd"/>
      <w:r>
        <w:t xml:space="preserve"> </w:t>
      </w:r>
      <w:proofErr w:type="spellStart"/>
      <w:r>
        <w:t>lamang</w:t>
      </w:r>
      <w:proofErr w:type="spellEnd"/>
      <w:r>
        <w:t xml:space="preserve"> </w:t>
      </w:r>
      <w:proofErr w:type="spellStart"/>
      <w:r>
        <w:t>na</w:t>
      </w:r>
      <w:proofErr w:type="spellEnd"/>
      <w:r>
        <w:t xml:space="preserve"> </w:t>
      </w:r>
      <w:proofErr w:type="spellStart"/>
      <w:r>
        <w:t>tumawag</w:t>
      </w:r>
      <w:proofErr w:type="spellEnd"/>
      <w:r>
        <w:t xml:space="preserve"> </w:t>
      </w:r>
      <w:proofErr w:type="spellStart"/>
      <w:r>
        <w:t>sa</w:t>
      </w:r>
      <w:proofErr w:type="spellEnd"/>
      <w:r>
        <w:t xml:space="preserve"> 415-  </w:t>
      </w:r>
    </w:p>
    <w:p w14:paraId="41EB0138" w14:textId="77777777" w:rsidR="00266F52" w:rsidRDefault="00000000">
      <w:pPr>
        <w:ind w:left="9" w:right="48"/>
      </w:pPr>
      <w:r>
        <w:t xml:space="preserve">5586309. </w:t>
      </w:r>
      <w:proofErr w:type="spellStart"/>
      <w:r>
        <w:t>Mangyaring</w:t>
      </w:r>
      <w:proofErr w:type="spellEnd"/>
      <w:r>
        <w:t xml:space="preserve"> </w:t>
      </w:r>
      <w:proofErr w:type="spellStart"/>
      <w:r>
        <w:t>tumawag</w:t>
      </w:r>
      <w:proofErr w:type="spellEnd"/>
      <w:r>
        <w:t xml:space="preserve"> </w:t>
      </w:r>
      <w:proofErr w:type="spellStart"/>
      <w:r>
        <w:t>nang</w:t>
      </w:r>
      <w:proofErr w:type="spellEnd"/>
      <w:r>
        <w:t xml:space="preserve"> </w:t>
      </w:r>
      <w:proofErr w:type="spellStart"/>
      <w:r>
        <w:t>maaga</w:t>
      </w:r>
      <w:proofErr w:type="spellEnd"/>
      <w:r>
        <w:t xml:space="preserve"> (kung </w:t>
      </w:r>
      <w:proofErr w:type="spellStart"/>
      <w:r>
        <w:t>maaari</w:t>
      </w:r>
      <w:proofErr w:type="spellEnd"/>
      <w:r>
        <w:t xml:space="preserve"> ay 48 </w:t>
      </w:r>
      <w:proofErr w:type="spellStart"/>
      <w:r>
        <w:t>oras</w:t>
      </w:r>
      <w:proofErr w:type="spellEnd"/>
      <w:r>
        <w:t xml:space="preserve">) </w:t>
      </w:r>
      <w:proofErr w:type="spellStart"/>
      <w:r>
        <w:t>bago</w:t>
      </w:r>
      <w:proofErr w:type="spellEnd"/>
      <w:r>
        <w:t xml:space="preserve"> </w:t>
      </w:r>
      <w:proofErr w:type="spellStart"/>
      <w:r>
        <w:t>sa</w:t>
      </w:r>
      <w:proofErr w:type="spellEnd"/>
      <w:r>
        <w:t xml:space="preserve"> </w:t>
      </w:r>
      <w:proofErr w:type="spellStart"/>
      <w:r>
        <w:t>araw</w:t>
      </w:r>
      <w:proofErr w:type="spellEnd"/>
      <w:r>
        <w:t xml:space="preserve"> ng </w:t>
      </w:r>
      <w:proofErr w:type="spellStart"/>
      <w:r>
        <w:t>Pagdinig</w:t>
      </w:r>
      <w:proofErr w:type="spellEnd"/>
      <w:r>
        <w:t xml:space="preserve">. </w:t>
      </w:r>
    </w:p>
    <w:p w14:paraId="6F9AAB24" w14:textId="77777777" w:rsidR="00266F52" w:rsidRDefault="00000000">
      <w:pPr>
        <w:spacing w:after="0" w:line="259" w:lineRule="auto"/>
        <w:ind w:left="60" w:firstLine="0"/>
        <w:jc w:val="center"/>
      </w:pPr>
      <w:r>
        <w:t xml:space="preserve"> </w:t>
      </w:r>
    </w:p>
    <w:p w14:paraId="1BA47034" w14:textId="77777777" w:rsidR="00266F52" w:rsidRDefault="00000000">
      <w:pPr>
        <w:spacing w:after="10" w:line="249" w:lineRule="auto"/>
        <w:ind w:left="41" w:right="34"/>
        <w:jc w:val="center"/>
      </w:pPr>
      <w:r>
        <w:t xml:space="preserve">RUSSIAN: </w:t>
      </w:r>
    </w:p>
    <w:p w14:paraId="0E713291" w14:textId="77777777" w:rsidR="00266F52" w:rsidRDefault="00000000">
      <w:pPr>
        <w:spacing w:after="0" w:line="238" w:lineRule="auto"/>
        <w:ind w:left="0" w:firstLine="25"/>
        <w:jc w:val="center"/>
      </w:pPr>
      <w:proofErr w:type="spellStart"/>
      <w:r>
        <w:t>Повестка</w:t>
      </w:r>
      <w:proofErr w:type="spellEnd"/>
      <w:r>
        <w:t xml:space="preserve"> </w:t>
      </w:r>
      <w:proofErr w:type="spellStart"/>
      <w:r>
        <w:t>дня</w:t>
      </w:r>
      <w:proofErr w:type="spellEnd"/>
      <w:r>
        <w:t xml:space="preserve"> </w:t>
      </w:r>
      <w:proofErr w:type="spellStart"/>
      <w:r>
        <w:t>Комиссии</w:t>
      </w:r>
      <w:proofErr w:type="spellEnd"/>
      <w:r>
        <w:t xml:space="preserve"> </w:t>
      </w:r>
      <w:proofErr w:type="spellStart"/>
      <w:r>
        <w:t>по</w:t>
      </w:r>
      <w:proofErr w:type="spellEnd"/>
      <w:r>
        <w:t xml:space="preserve"> </w:t>
      </w:r>
      <w:proofErr w:type="spellStart"/>
      <w:r>
        <w:t>планированию</w:t>
      </w:r>
      <w:proofErr w:type="spellEnd"/>
      <w:r>
        <w:t xml:space="preserve">. </w:t>
      </w:r>
      <w:proofErr w:type="spellStart"/>
      <w:r>
        <w:t>За</w:t>
      </w:r>
      <w:proofErr w:type="spellEnd"/>
      <w:r>
        <w:t xml:space="preserve"> </w:t>
      </w:r>
      <w:proofErr w:type="spellStart"/>
      <w:r>
        <w:t>помощью</w:t>
      </w:r>
      <w:proofErr w:type="spellEnd"/>
      <w:r>
        <w:t xml:space="preserve"> </w:t>
      </w:r>
      <w:proofErr w:type="spellStart"/>
      <w:r>
        <w:t>переводчика</w:t>
      </w:r>
      <w:proofErr w:type="spellEnd"/>
      <w:r>
        <w:t xml:space="preserve"> </w:t>
      </w:r>
      <w:proofErr w:type="spellStart"/>
      <w:r>
        <w:t>или</w:t>
      </w:r>
      <w:proofErr w:type="spellEnd"/>
      <w:r>
        <w:t xml:space="preserve"> </w:t>
      </w:r>
      <w:proofErr w:type="spellStart"/>
      <w:r>
        <w:t>за</w:t>
      </w:r>
      <w:proofErr w:type="spellEnd"/>
      <w:r>
        <w:t xml:space="preserve">  </w:t>
      </w:r>
      <w:proofErr w:type="spellStart"/>
      <w:r>
        <w:t>вспомогательным</w:t>
      </w:r>
      <w:proofErr w:type="spellEnd"/>
      <w:r>
        <w:t xml:space="preserve"> </w:t>
      </w:r>
      <w:proofErr w:type="spellStart"/>
      <w:r>
        <w:t>слуховым</w:t>
      </w:r>
      <w:proofErr w:type="spellEnd"/>
      <w:r>
        <w:t xml:space="preserve"> </w:t>
      </w:r>
      <w:proofErr w:type="spellStart"/>
      <w:r>
        <w:t>устройством</w:t>
      </w:r>
      <w:proofErr w:type="spellEnd"/>
      <w:r>
        <w:t xml:space="preserve"> </w:t>
      </w:r>
      <w:proofErr w:type="spellStart"/>
      <w:r>
        <w:t>на</w:t>
      </w:r>
      <w:proofErr w:type="spellEnd"/>
      <w:r>
        <w:t xml:space="preserve"> </w:t>
      </w:r>
      <w:proofErr w:type="spellStart"/>
      <w:r>
        <w:t>время</w:t>
      </w:r>
      <w:proofErr w:type="spellEnd"/>
      <w:r>
        <w:t xml:space="preserve"> </w:t>
      </w:r>
      <w:proofErr w:type="spellStart"/>
      <w:r>
        <w:t>слушаний</w:t>
      </w:r>
      <w:proofErr w:type="spellEnd"/>
      <w:r>
        <w:t xml:space="preserve"> </w:t>
      </w:r>
      <w:proofErr w:type="spellStart"/>
      <w:r>
        <w:t>обращайтесь</w:t>
      </w:r>
      <w:proofErr w:type="spellEnd"/>
      <w:r>
        <w:t xml:space="preserve"> </w:t>
      </w:r>
      <w:proofErr w:type="spellStart"/>
      <w:r>
        <w:t>по</w:t>
      </w:r>
      <w:proofErr w:type="spellEnd"/>
      <w:r>
        <w:t xml:space="preserve"> </w:t>
      </w:r>
      <w:proofErr w:type="spellStart"/>
      <w:r>
        <w:t>номеру</w:t>
      </w:r>
      <w:proofErr w:type="spellEnd"/>
      <w:r>
        <w:t xml:space="preserve">  415558-6309. </w:t>
      </w:r>
      <w:proofErr w:type="spellStart"/>
      <w:r>
        <w:t>Запросы</w:t>
      </w:r>
      <w:proofErr w:type="spellEnd"/>
      <w:r>
        <w:t xml:space="preserve"> </w:t>
      </w:r>
      <w:proofErr w:type="spellStart"/>
      <w:r>
        <w:t>должны</w:t>
      </w:r>
      <w:proofErr w:type="spellEnd"/>
      <w:r>
        <w:t xml:space="preserve"> </w:t>
      </w:r>
      <w:proofErr w:type="spellStart"/>
      <w:r>
        <w:t>делаться</w:t>
      </w:r>
      <w:proofErr w:type="spellEnd"/>
      <w:r>
        <w:t xml:space="preserve"> </w:t>
      </w:r>
      <w:proofErr w:type="spellStart"/>
      <w:r>
        <w:t>минимум</w:t>
      </w:r>
      <w:proofErr w:type="spellEnd"/>
      <w:r>
        <w:t xml:space="preserve"> </w:t>
      </w:r>
      <w:proofErr w:type="spellStart"/>
      <w:r>
        <w:t>за</w:t>
      </w:r>
      <w:proofErr w:type="spellEnd"/>
      <w:r>
        <w:t xml:space="preserve"> 48 </w:t>
      </w:r>
      <w:proofErr w:type="spellStart"/>
      <w:r>
        <w:t>часов</w:t>
      </w:r>
      <w:proofErr w:type="spellEnd"/>
      <w:r>
        <w:t xml:space="preserve"> </w:t>
      </w:r>
      <w:proofErr w:type="spellStart"/>
      <w:r>
        <w:t>до</w:t>
      </w:r>
      <w:proofErr w:type="spellEnd"/>
      <w:r>
        <w:t xml:space="preserve"> </w:t>
      </w:r>
      <w:proofErr w:type="spellStart"/>
      <w:r>
        <w:t>начала</w:t>
      </w:r>
      <w:proofErr w:type="spellEnd"/>
      <w:r>
        <w:t xml:space="preserve"> </w:t>
      </w:r>
      <w:proofErr w:type="spellStart"/>
      <w:r>
        <w:t>слушания</w:t>
      </w:r>
      <w:proofErr w:type="spellEnd"/>
      <w:r>
        <w:t xml:space="preserve">. </w:t>
      </w:r>
    </w:p>
    <w:p w14:paraId="27AD9694" w14:textId="77777777" w:rsidR="00266F52" w:rsidRDefault="00000000">
      <w:pPr>
        <w:spacing w:after="0" w:line="259" w:lineRule="auto"/>
        <w:ind w:left="60" w:firstLine="0"/>
        <w:jc w:val="center"/>
      </w:pPr>
      <w:r>
        <w:t xml:space="preserve"> </w:t>
      </w:r>
    </w:p>
    <w:p w14:paraId="4976848E" w14:textId="77777777" w:rsidR="00266F52" w:rsidRDefault="00000000">
      <w:pPr>
        <w:spacing w:after="10" w:line="249" w:lineRule="auto"/>
        <w:ind w:left="41" w:right="32"/>
        <w:jc w:val="center"/>
      </w:pPr>
      <w:r>
        <w:t xml:space="preserve">POLICY ON CELL PHONE, PAGERS, AND ELECTRONIC DEVICES </w:t>
      </w:r>
    </w:p>
    <w:p w14:paraId="62C81ECA" w14:textId="77777777" w:rsidR="00266F52" w:rsidRDefault="00000000">
      <w:pPr>
        <w:spacing w:after="668"/>
        <w:ind w:left="9" w:right="48"/>
      </w:pPr>
      <w:r>
        <w:t xml:space="preserve">The ringing of and use of cell phones, pagers, and similar sound-producing electronic devices are prohibited at this meeting. Please be advised that the Chair may order the removal from  the meeting room of any person(s) responsible for the ringing or use of a cell phone, pager, or  other similar sound producing electronic devices. </w:t>
      </w:r>
    </w:p>
    <w:p w14:paraId="3252181B" w14:textId="77777777" w:rsidR="00266F52" w:rsidRDefault="00000000">
      <w:pPr>
        <w:spacing w:after="10" w:line="249" w:lineRule="auto"/>
        <w:ind w:left="41" w:right="33"/>
        <w:jc w:val="center"/>
      </w:pPr>
      <w:r>
        <w:t xml:space="preserve">KNOW YOUR RIGHTS UNDER THE SUNSHINE ORDINANCE </w:t>
      </w:r>
    </w:p>
    <w:p w14:paraId="12738CCB" w14:textId="77777777" w:rsidR="00266F52" w:rsidRDefault="00000000">
      <w:pPr>
        <w:ind w:left="9" w:right="48"/>
      </w:pPr>
      <w:r>
        <w:t xml:space="preserve">Government’s duty is to serve the public, reaching its decisions in full view of the public.  </w:t>
      </w:r>
    </w:p>
    <w:p w14:paraId="75ECF812" w14:textId="77777777" w:rsidR="00266F52" w:rsidRDefault="00000000">
      <w:pPr>
        <w:ind w:left="9" w:right="48"/>
      </w:pPr>
      <w:r>
        <w:t xml:space="preserve">Commissions, boards, councils and other agencies of the City and County exist to conduct the  </w:t>
      </w:r>
    </w:p>
    <w:p w14:paraId="1EF5D0D0" w14:textId="77777777" w:rsidR="00266F52" w:rsidRDefault="00000000">
      <w:pPr>
        <w:ind w:left="9" w:right="48"/>
      </w:pPr>
      <w:r>
        <w:t xml:space="preserve">Behavioral Health Commission Meeting, people’s business. Ordinance assures that  deliberations are conducted before the people and that City operations are open to the  </w:t>
      </w:r>
    </w:p>
    <w:p w14:paraId="57588238" w14:textId="77777777" w:rsidR="00266F52" w:rsidRDefault="00000000">
      <w:pPr>
        <w:ind w:left="9" w:right="48"/>
      </w:pPr>
      <w:r>
        <w:t xml:space="preserve">Commission Meeting, For more information on your rights under the Sunshine Ordinance  (Chapter 67 of the San Francisco Administrative Code) or to report a violation of the ordinance,  contact: Sunshine Ordinance Task Force City Hall, Room 244 1 Dr. Carlton B. Goodlett Place  San Francisco, CA 94102-4689 Telephone: (415)554-7724 Fax: 4(15) 554-5163 E-mail:  </w:t>
      </w:r>
      <w:r>
        <w:rPr>
          <w:color w:val="0000FF"/>
          <w:u w:val="single" w:color="0000FF"/>
        </w:rPr>
        <w:t>sotf@sfgov.org</w:t>
      </w:r>
      <w:r>
        <w:t xml:space="preserve"> Citizens interested in obtaining a free copy of the Sunshine Ordinance can  request one from the Sunshine Ordinance Task Force or by printing Chapter 67 of the San  Francisco Administrative Code from the internet at:</w:t>
      </w:r>
      <w:hyperlink r:id="rId14">
        <w:r>
          <w:rPr>
            <w:color w:val="0000FF"/>
            <w:u w:val="single" w:color="0000FF"/>
          </w:rPr>
          <w:t xml:space="preserve"> www.sfgov.org/sunshin</w:t>
        </w:r>
      </w:hyperlink>
      <w:hyperlink r:id="rId15">
        <w:r>
          <w:rPr>
            <w:color w:val="0000FF"/>
            <w:u w:val="single" w:color="0000FF"/>
          </w:rPr>
          <w:t>e.</w:t>
        </w:r>
      </w:hyperlink>
      <w:hyperlink r:id="rId16">
        <w:r>
          <w:rPr>
            <w:color w:val="0000FF"/>
          </w:rPr>
          <w:t xml:space="preserve"> </w:t>
        </w:r>
      </w:hyperlink>
      <w:r>
        <w:t xml:space="preserve"> </w:t>
      </w:r>
    </w:p>
    <w:p w14:paraId="79888332" w14:textId="77777777" w:rsidR="00266F52" w:rsidRDefault="00000000">
      <w:pPr>
        <w:spacing w:after="0" w:line="259" w:lineRule="auto"/>
        <w:ind w:left="0" w:firstLine="0"/>
      </w:pPr>
      <w:r>
        <w:t xml:space="preserve"> </w:t>
      </w:r>
    </w:p>
    <w:p w14:paraId="051E01BD" w14:textId="77777777" w:rsidR="00266F52" w:rsidRDefault="00000000">
      <w:pPr>
        <w:ind w:left="9" w:right="48"/>
      </w:pPr>
      <w:r>
        <w:t xml:space="preserve">To view Behavioral Health Commission, agendas, and minutes, you may visit the MHB web page at: </w:t>
      </w:r>
      <w:hyperlink r:id="rId17">
        <w:r>
          <w:rPr>
            <w:color w:val="0000FF"/>
            <w:u w:val="single" w:color="0000FF"/>
          </w:rPr>
          <w:t>sf.gov/departments--behavioral-health-commission</w:t>
        </w:r>
      </w:hyperlink>
      <w:hyperlink r:id="rId18">
        <w:r>
          <w:t>.</w:t>
        </w:r>
      </w:hyperlink>
      <w:r>
        <w:t xml:space="preserve"> You may also go to the Government Information Center at the Main Library at Larkin and Grove in the Civic Center. You may also get copies of these documents through the BHC office at 628-206-7679, </w:t>
      </w:r>
      <w:r>
        <w:rPr>
          <w:color w:val="0000FF"/>
          <w:u w:val="single" w:color="0000FF"/>
        </w:rPr>
        <w:t>mailto:sfbhc@sfdph.org</w:t>
      </w:r>
      <w:r>
        <w:t xml:space="preserve">. </w:t>
      </w:r>
    </w:p>
    <w:p w14:paraId="6B356AC7" w14:textId="77777777" w:rsidR="00266F52" w:rsidRDefault="00000000">
      <w:pPr>
        <w:spacing w:after="0" w:line="259" w:lineRule="auto"/>
        <w:ind w:left="0" w:firstLine="0"/>
      </w:pPr>
      <w:r>
        <w:t xml:space="preserve"> </w:t>
      </w:r>
    </w:p>
    <w:p w14:paraId="7B4E3A31" w14:textId="77777777" w:rsidR="00266F52" w:rsidRDefault="00000000">
      <w:pPr>
        <w:spacing w:after="10" w:line="249" w:lineRule="auto"/>
        <w:ind w:left="41" w:right="37"/>
        <w:jc w:val="center"/>
      </w:pPr>
      <w:r>
        <w:t xml:space="preserve">LOBBYIST REGISTRATION AND REPORTING REQUIREMENTS </w:t>
      </w:r>
    </w:p>
    <w:p w14:paraId="031B6B35" w14:textId="77777777" w:rsidR="00266F52" w:rsidRDefault="00000000">
      <w:pPr>
        <w:ind w:left="9" w:right="48"/>
      </w:pPr>
      <w:r>
        <w:t xml:space="preserve">Individuals and entities that influence or attempt to influence local legislative or administrative  </w:t>
      </w:r>
    </w:p>
    <w:p w14:paraId="4DEC780A" w14:textId="77777777" w:rsidR="00266F52" w:rsidRDefault="00000000">
      <w:pPr>
        <w:ind w:left="9" w:right="149"/>
      </w:pPr>
      <w:r>
        <w:t xml:space="preserve">action may be required by the San Francisco Lobbyist Ordinance [SF Campaign  &amp; Governmental Conduct Code 2.100] to register and report lobbying activity. For more  information about the Lobbyist Ordinance, please contact the San Francisco Ethics Commission  at 30 Van Ness Avenue, Suite 3900, San Francisco, CA 94102; telephone (415) 581-2300; fax  (415) 581-2317; website </w:t>
      </w:r>
      <w:hyperlink r:id="rId19">
        <w:r>
          <w:rPr>
            <w:color w:val="0000FF"/>
            <w:u w:val="single" w:color="0000FF"/>
          </w:rPr>
          <w:t>www.sfgov.org/ethics</w:t>
        </w:r>
      </w:hyperlink>
      <w:hyperlink r:id="rId20">
        <w:r>
          <w:rPr>
            <w:color w:val="0000FF"/>
            <w:sz w:val="22"/>
          </w:rPr>
          <w:t>.</w:t>
        </w:r>
      </w:hyperlink>
      <w:hyperlink r:id="rId21">
        <w:r>
          <w:t xml:space="preserve"> </w:t>
        </w:r>
      </w:hyperlink>
    </w:p>
    <w:p w14:paraId="03C602C9" w14:textId="77777777" w:rsidR="00266F52" w:rsidRDefault="00266F52">
      <w:pPr>
        <w:sectPr w:rsidR="00266F52">
          <w:footerReference w:type="even" r:id="rId22"/>
          <w:footerReference w:type="default" r:id="rId23"/>
          <w:footerReference w:type="first" r:id="rId24"/>
          <w:pgSz w:w="12240" w:h="15840"/>
          <w:pgMar w:top="1058" w:right="1435" w:bottom="1236" w:left="1426" w:header="720" w:footer="720" w:gutter="0"/>
          <w:cols w:space="720"/>
        </w:sectPr>
      </w:pPr>
    </w:p>
    <w:p w14:paraId="5E6599C2" w14:textId="77777777" w:rsidR="00266F52" w:rsidRDefault="00000000">
      <w:pPr>
        <w:spacing w:after="30" w:line="259" w:lineRule="auto"/>
        <w:ind w:left="2385"/>
      </w:pPr>
      <w:r>
        <w:rPr>
          <w:sz w:val="22"/>
        </w:rPr>
        <w:lastRenderedPageBreak/>
        <w:t xml:space="preserve">Executive Committee Agenda, Tuesday, November </w:t>
      </w:r>
    </w:p>
    <w:p w14:paraId="7AC87EEA" w14:textId="77777777" w:rsidR="00266F52" w:rsidRDefault="00000000">
      <w:pPr>
        <w:tabs>
          <w:tab w:val="center" w:pos="2722"/>
          <w:tab w:val="center" w:pos="4730"/>
          <w:tab w:val="center" w:pos="6775"/>
        </w:tabs>
        <w:spacing w:after="30" w:line="259" w:lineRule="auto"/>
        <w:ind w:left="0" w:firstLine="0"/>
      </w:pPr>
      <w:r>
        <w:rPr>
          <w:rFonts w:ascii="Calibri" w:eastAsia="Calibri" w:hAnsi="Calibri" w:cs="Calibri"/>
          <w:sz w:val="22"/>
        </w:rPr>
        <w:tab/>
      </w:r>
      <w:r>
        <w:rPr>
          <w:sz w:val="22"/>
        </w:rPr>
        <w:t xml:space="preserve">4, 2025 </w:t>
      </w:r>
      <w:r>
        <w:rPr>
          <w:sz w:val="22"/>
        </w:rPr>
        <w:tab/>
      </w:r>
      <w:r>
        <w:t xml:space="preserve"> </w:t>
      </w:r>
      <w:r>
        <w:tab/>
      </w:r>
      <w:r>
        <w:rPr>
          <w:sz w:val="22"/>
        </w:rPr>
        <w:t xml:space="preserve">Page 5 </w:t>
      </w:r>
    </w:p>
    <w:sectPr w:rsidR="00266F52">
      <w:footerReference w:type="even" r:id="rId25"/>
      <w:footerReference w:type="default" r:id="rId26"/>
      <w:footerReference w:type="firs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B978" w14:textId="77777777" w:rsidR="00E202A4" w:rsidRDefault="00E202A4">
      <w:pPr>
        <w:spacing w:after="0" w:line="240" w:lineRule="auto"/>
      </w:pPr>
      <w:r>
        <w:separator/>
      </w:r>
    </w:p>
  </w:endnote>
  <w:endnote w:type="continuationSeparator" w:id="0">
    <w:p w14:paraId="4AE628AD" w14:textId="77777777" w:rsidR="00E202A4" w:rsidRDefault="00E2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6DAB" w14:textId="77777777" w:rsidR="00266F52" w:rsidRDefault="00000000">
    <w:pPr>
      <w:tabs>
        <w:tab w:val="right" w:pos="9379"/>
      </w:tabs>
      <w:spacing w:after="0" w:line="259" w:lineRule="auto"/>
      <w:ind w:left="0" w:firstLine="0"/>
    </w:pPr>
    <w:r>
      <w:rPr>
        <w:sz w:val="22"/>
      </w:rPr>
      <w:t xml:space="preserve">Executive Committee Agenda, Tuesday, November 4, 2025 </w:t>
    </w:r>
    <w:r>
      <w:rPr>
        <w:sz w:val="22"/>
      </w:rPr>
      <w:tab/>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0373" w14:textId="77777777" w:rsidR="00266F52" w:rsidRDefault="00000000">
    <w:pPr>
      <w:tabs>
        <w:tab w:val="right" w:pos="9379"/>
      </w:tabs>
      <w:spacing w:after="0" w:line="259" w:lineRule="auto"/>
      <w:ind w:left="0" w:firstLine="0"/>
    </w:pPr>
    <w:r>
      <w:rPr>
        <w:sz w:val="22"/>
      </w:rPr>
      <w:t xml:space="preserve">Executive Committee Agenda, Tuesday, November 4, 2025 </w:t>
    </w:r>
    <w:r>
      <w:rPr>
        <w:sz w:val="22"/>
      </w:rPr>
      <w:tab/>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549F" w14:textId="77777777" w:rsidR="00266F52" w:rsidRDefault="00000000">
    <w:pPr>
      <w:tabs>
        <w:tab w:val="right" w:pos="9379"/>
      </w:tabs>
      <w:spacing w:after="0" w:line="259" w:lineRule="auto"/>
      <w:ind w:left="0" w:firstLine="0"/>
    </w:pPr>
    <w:r>
      <w:rPr>
        <w:sz w:val="22"/>
      </w:rPr>
      <w:t xml:space="preserve">Executive Committee Agenda, Tuesday, November 4, 2025 </w:t>
    </w:r>
    <w:r>
      <w:rPr>
        <w:sz w:val="22"/>
      </w:rPr>
      <w:tab/>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2075" w14:textId="77777777" w:rsidR="00266F52" w:rsidRDefault="00266F52">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FDEA" w14:textId="77777777" w:rsidR="00266F52" w:rsidRDefault="00266F52">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E174" w14:textId="77777777" w:rsidR="00266F52" w:rsidRDefault="00266F5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EB3C9" w14:textId="77777777" w:rsidR="00E202A4" w:rsidRDefault="00E202A4">
      <w:pPr>
        <w:spacing w:after="0" w:line="240" w:lineRule="auto"/>
      </w:pPr>
      <w:r>
        <w:separator/>
      </w:r>
    </w:p>
  </w:footnote>
  <w:footnote w:type="continuationSeparator" w:id="0">
    <w:p w14:paraId="351AC501" w14:textId="77777777" w:rsidR="00E202A4" w:rsidRDefault="00E20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E4914"/>
    <w:multiLevelType w:val="hybridMultilevel"/>
    <w:tmpl w:val="96A8318E"/>
    <w:lvl w:ilvl="0" w:tplc="A2181B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3475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4A83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BEBD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787C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BCBE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2680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1222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DAF3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1905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52"/>
    <w:rsid w:val="00266F52"/>
    <w:rsid w:val="003D5C05"/>
    <w:rsid w:val="00E202A4"/>
    <w:rsid w:val="00EE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0FD0"/>
  <w15:docId w15:val="{E4FBFBFB-B532-4736-A373-A22EFDA0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7" w:lineRule="auto"/>
      <w:ind w:left="4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hyperlink" Target="https://sfgov.legistar.com/View.ashx?M=F&amp;ID=12645173&amp;GUID=736592A0-2D66-4102-A027-2AF4DB7CBA8A" TargetMode="External"/><Relationship Id="rId18" Type="http://schemas.openxmlformats.org/officeDocument/2006/relationships/hyperlink" Target="https://www.sf.gov/departments--behavioral-health-commission"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www.sfgov.org/ethics." TargetMode="External"/><Relationship Id="rId7" Type="http://schemas.openxmlformats.org/officeDocument/2006/relationships/image" Target="media/image1.jpg"/><Relationship Id="rId12" Type="http://schemas.openxmlformats.org/officeDocument/2006/relationships/hyperlink" Target="https://sfgov.legistar.com/View.ashx?M=F&amp;ID=12645173&amp;GUID=736592A0-2D66-4102-A027-2AF4DB7CBA8A" TargetMode="External"/><Relationship Id="rId17" Type="http://schemas.openxmlformats.org/officeDocument/2006/relationships/hyperlink" Target="https://www.sf.gov/departments--behavioral-health-commission"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sfgov.org/sunshine" TargetMode="External"/><Relationship Id="rId20" Type="http://schemas.openxmlformats.org/officeDocument/2006/relationships/hyperlink" Target="http://www.sfgov.org/ethic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fgov.legistar.com/View.ashx?M=F&amp;ID=12645173&amp;GUID=736592A0-2D66-4102-A027-2AF4DB7CBA8A"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fgov.org/sunshine"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sfgov.legistar.com/View.ashx?M=F&amp;ID=12645173&amp;GUID=736592A0-2D66-4102-A027-2AF4DB7CBA8A" TargetMode="External"/><Relationship Id="rId19" Type="http://schemas.openxmlformats.org/officeDocument/2006/relationships/hyperlink" Target="http://www.sfgov.org/ethics." TargetMode="External"/><Relationship Id="rId4" Type="http://schemas.openxmlformats.org/officeDocument/2006/relationships/webSettings" Target="webSettings.xml"/><Relationship Id="rId9" Type="http://schemas.openxmlformats.org/officeDocument/2006/relationships/hyperlink" Target="https://us06web.zoom.us/j/82346365185?pwd=em1raGdZZTQwUTVMTHVYSXhUajAyUT09" TargetMode="External"/><Relationship Id="rId14" Type="http://schemas.openxmlformats.org/officeDocument/2006/relationships/hyperlink" Target="http://www.sfgov.org/sunshine" TargetMode="External"/><Relationship Id="rId22" Type="http://schemas.openxmlformats.org/officeDocument/2006/relationships/footer" Target="footer1.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1739</Words>
  <Characters>9496</Characters>
  <Application>Microsoft Office Word</Application>
  <DocSecurity>0</DocSecurity>
  <Lines>206</Lines>
  <Paragraphs>108</Paragraphs>
  <ScaleCrop>false</ScaleCrop>
  <Company>San Francisco Department of Public Health</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*MHB Stationery Memo</dc:title>
  <dc:subject/>
  <dc:creator>Rich Snowdon</dc:creator>
  <cp:keywords/>
  <cp:lastModifiedBy>Gray, Amber (DPH)</cp:lastModifiedBy>
  <cp:revision>2</cp:revision>
  <dcterms:created xsi:type="dcterms:W3CDTF">2025-11-01T00:12:00Z</dcterms:created>
  <dcterms:modified xsi:type="dcterms:W3CDTF">2025-11-01T00:12:00Z</dcterms:modified>
</cp:coreProperties>
</file>