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7196"/>
        <w:gridCol w:w="2798"/>
      </w:tblGrid>
      <w:tr w:rsidR="00385428" w14:paraId="331370D8" w14:textId="77777777">
        <w:trPr>
          <w:jc w:val="center"/>
        </w:trPr>
        <w:tc>
          <w:tcPr>
            <w:tcW w:w="7196" w:type="dxa"/>
            <w:tcMar>
              <w:top w:w="0" w:type="dxa"/>
              <w:left w:w="0" w:type="dxa"/>
              <w:bottom w:w="0" w:type="dxa"/>
              <w:right w:w="0" w:type="dxa"/>
            </w:tcMar>
          </w:tcPr>
          <w:p w14:paraId="1959EF7B" w14:textId="2DA76B61" w:rsidR="00385428" w:rsidRDefault="004541B2" w:rsidP="004541B2">
            <w:pPr>
              <w:spacing w:after="0"/>
              <w:jc w:val="both"/>
            </w:pPr>
            <w:r>
              <w:rPr>
                <w:noProof/>
              </w:rPr>
              <w:t xml:space="preserve">     </w:t>
            </w:r>
            <w:r w:rsidR="002272D1">
              <w:rPr>
                <w:noProof/>
              </w:rPr>
              <w:drawing>
                <wp:inline distT="0" distB="0" distL="0" distR="0" wp14:anchorId="47D0F934" wp14:editId="36F50C78">
                  <wp:extent cx="3246120" cy="806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rop2.png"/>
                          <pic:cNvPicPr/>
                        </pic:nvPicPr>
                        <pic:blipFill>
                          <a:blip r:embed="rId8"/>
                          <a:stretch>
                            <a:fillRect/>
                          </a:stretch>
                        </pic:blipFill>
                        <pic:spPr>
                          <a:xfrm>
                            <a:off x="0" y="0"/>
                            <a:ext cx="3246120" cy="806803"/>
                          </a:xfrm>
                          <a:prstGeom prst="rect">
                            <a:avLst/>
                          </a:prstGeom>
                        </pic:spPr>
                      </pic:pic>
                    </a:graphicData>
                  </a:graphic>
                </wp:inline>
              </w:drawing>
            </w:r>
          </w:p>
        </w:tc>
        <w:tc>
          <w:tcPr>
            <w:tcW w:w="2798" w:type="dxa"/>
            <w:tcMar>
              <w:top w:w="0" w:type="dxa"/>
              <w:left w:w="0" w:type="dxa"/>
              <w:bottom w:w="0" w:type="dxa"/>
              <w:right w:w="0" w:type="dxa"/>
            </w:tcMar>
          </w:tcPr>
          <w:p w14:paraId="2A44F90F" w14:textId="6457D7DC" w:rsidR="00385428" w:rsidRDefault="00385428">
            <w:pPr>
              <w:spacing w:after="0"/>
              <w:jc w:val="right"/>
            </w:pPr>
          </w:p>
        </w:tc>
      </w:tr>
      <w:tr w:rsidR="00EB2E74" w14:paraId="3036DA4B" w14:textId="77777777">
        <w:trPr>
          <w:jc w:val="center"/>
        </w:trPr>
        <w:tc>
          <w:tcPr>
            <w:tcW w:w="7196" w:type="dxa"/>
            <w:tcMar>
              <w:top w:w="0" w:type="dxa"/>
              <w:left w:w="0" w:type="dxa"/>
              <w:bottom w:w="0" w:type="dxa"/>
              <w:right w:w="0" w:type="dxa"/>
            </w:tcMar>
          </w:tcPr>
          <w:p w14:paraId="4ACF1E67" w14:textId="77777777" w:rsidR="00EB2E74" w:rsidRDefault="00EB2E74" w:rsidP="004541B2">
            <w:pPr>
              <w:spacing w:after="0"/>
              <w:jc w:val="both"/>
              <w:rPr>
                <w:noProof/>
              </w:rPr>
            </w:pPr>
          </w:p>
        </w:tc>
        <w:tc>
          <w:tcPr>
            <w:tcW w:w="2798" w:type="dxa"/>
            <w:tcMar>
              <w:top w:w="0" w:type="dxa"/>
              <w:left w:w="0" w:type="dxa"/>
              <w:bottom w:w="0" w:type="dxa"/>
              <w:right w:w="0" w:type="dxa"/>
            </w:tcMar>
          </w:tcPr>
          <w:p w14:paraId="06CE3794" w14:textId="77777777" w:rsidR="00EB2E74" w:rsidRDefault="00EB2E74">
            <w:pPr>
              <w:spacing w:after="0"/>
              <w:jc w:val="right"/>
            </w:pPr>
          </w:p>
        </w:tc>
      </w:tr>
    </w:tbl>
    <w:p w14:paraId="0BDCD162" w14:textId="77777777" w:rsidR="00385428" w:rsidRPr="004541B2" w:rsidRDefault="002272D1">
      <w:pPr>
        <w:spacing w:before="120" w:after="40" w:line="240" w:lineRule="auto"/>
        <w:rPr>
          <w:rFonts w:ascii="Quicksand" w:hAnsi="Quicksand"/>
        </w:rPr>
      </w:pPr>
      <w:r w:rsidRPr="004541B2">
        <w:rPr>
          <w:rFonts w:ascii="Quicksand" w:eastAsia="Quicksand" w:hAnsi="Quicksand"/>
          <w:b/>
          <w:color w:val="7D94CB"/>
          <w:sz w:val="51"/>
        </w:rPr>
        <w:t>Policy Agenda 2025–26</w:t>
      </w:r>
    </w:p>
    <w:p w14:paraId="4B8FB35C" w14:textId="7FF8E588" w:rsidR="00385428" w:rsidRPr="00676923" w:rsidRDefault="002272D1" w:rsidP="00676923">
      <w:pPr>
        <w:spacing w:line="252" w:lineRule="auto"/>
        <w:rPr>
          <w:sz w:val="28"/>
          <w:szCs w:val="28"/>
        </w:rPr>
      </w:pPr>
      <w:r w:rsidRPr="00676923">
        <w:rPr>
          <w:sz w:val="28"/>
          <w:szCs w:val="28"/>
        </w:rPr>
        <w:t>Local, state, and federal priorities supporting San Francisco children birth to five and their families.</w:t>
      </w:r>
    </w:p>
    <w:p w14:paraId="62E09F18" w14:textId="77777777" w:rsidR="00385428" w:rsidRDefault="002272D1">
      <w:pPr>
        <w:pStyle w:val="DECBody"/>
        <w:spacing w:after="140" w:line="283" w:lineRule="auto"/>
      </w:pPr>
      <w:r>
        <w:t>The Department of Early Childhood (DEC) is committed to ensuring that every child who grows up in San Francisco can thrive and learn. To achieve this, DEC partners with families, communities, and systems — and engages with policies and institutions at the local, state, and federal levels that support children's health, development, and well-being.</w:t>
      </w:r>
    </w:p>
    <w:p w14:paraId="5E445148" w14:textId="77777777" w:rsidR="00385428" w:rsidRDefault="002272D1">
      <w:pPr>
        <w:pStyle w:val="DECBody"/>
        <w:spacing w:after="140" w:line="283" w:lineRule="auto"/>
      </w:pPr>
      <w:r>
        <w:t>As with DEC's strategic plan, our policy agenda is built in partnership with parents, early educators, and the early childhood community — centering the voices of the families we serve.</w:t>
      </w:r>
    </w:p>
    <w:p w14:paraId="7DEF10C4" w14:textId="77777777" w:rsidR="00385428" w:rsidRDefault="002272D1">
      <w:pPr>
        <w:pStyle w:val="DECBody"/>
        <w:spacing w:line="283" w:lineRule="auto"/>
      </w:pPr>
      <w:r>
        <w:t>DEC is committed to addressing the structural inequities that shape early childhood outcomes — working toward a San Francisco where race is no longer a predictor of how children grow, learn, and thrive. We believe policy reform is a critical tool for shifting power and expanding opportunity for the families most impacted by systemic inequity. The following policy agenda reflects that commitment, presenting current and emerging priorities across DEC's core strategies:</w:t>
      </w:r>
    </w:p>
    <w:p w14:paraId="576338B2" w14:textId="77777777" w:rsidR="00385428" w:rsidRPr="004541B2" w:rsidRDefault="002272D1">
      <w:pPr>
        <w:pStyle w:val="DECSmallCaps"/>
        <w:spacing w:before="80" w:after="120" w:line="240" w:lineRule="auto"/>
        <w:rPr>
          <w:sz w:val="24"/>
          <w:szCs w:val="24"/>
        </w:rPr>
      </w:pPr>
      <w:r w:rsidRPr="004541B2">
        <w:rPr>
          <w:sz w:val="24"/>
          <w:szCs w:val="24"/>
        </w:rPr>
        <w:t>CORE POLICY COMMITMENTS</w:t>
      </w:r>
    </w:p>
    <w:tbl>
      <w:tblPr>
        <w:tblW w:w="0" w:type="auto"/>
        <w:jc w:val="center"/>
        <w:tblLayout w:type="fixed"/>
        <w:tblLook w:val="04A0" w:firstRow="1" w:lastRow="0" w:firstColumn="1" w:lastColumn="0" w:noHBand="0" w:noVBand="1"/>
      </w:tblPr>
      <w:tblGrid>
        <w:gridCol w:w="5085"/>
        <w:gridCol w:w="4947"/>
      </w:tblGrid>
      <w:tr w:rsidR="00385428" w14:paraId="53DB57ED" w14:textId="77777777" w:rsidTr="004541B2">
        <w:trPr>
          <w:jc w:val="center"/>
        </w:trPr>
        <w:tc>
          <w:tcPr>
            <w:tcW w:w="5085" w:type="dxa"/>
            <w:tcBorders>
              <w:top w:val="single" w:sz="18" w:space="0" w:color="7D94CB"/>
              <w:left w:val="single" w:sz="4" w:space="0" w:color="D9D9D9"/>
              <w:bottom w:val="single" w:sz="4" w:space="0" w:color="D9D9D9"/>
              <w:right w:val="single" w:sz="4" w:space="0" w:color="D9D9D9"/>
            </w:tcBorders>
            <w:tcMar>
              <w:top w:w="100" w:type="dxa"/>
              <w:left w:w="120" w:type="dxa"/>
              <w:bottom w:w="100" w:type="dxa"/>
              <w:right w:w="110" w:type="dxa"/>
            </w:tcMar>
            <w:vAlign w:val="center"/>
          </w:tcPr>
          <w:p w14:paraId="1482EA7F" w14:textId="77777777" w:rsidR="00385428" w:rsidRDefault="002272D1">
            <w:pPr>
              <w:spacing w:after="40" w:line="240" w:lineRule="auto"/>
            </w:pPr>
            <w:r>
              <w:rPr>
                <w:rFonts w:ascii="Quicksand" w:eastAsia="Quicksand" w:hAnsi="Quicksand"/>
                <w:b/>
                <w:color w:val="7D94CB"/>
                <w:sz w:val="27"/>
              </w:rPr>
              <w:t>1.</w:t>
            </w:r>
          </w:p>
          <w:p w14:paraId="7D6AB7D7" w14:textId="77777777" w:rsidR="00385428" w:rsidRDefault="002272D1">
            <w:pPr>
              <w:spacing w:after="0" w:line="264" w:lineRule="auto"/>
            </w:pPr>
            <w:r>
              <w:rPr>
                <w:sz w:val="18"/>
              </w:rPr>
              <w:t>Increases access to affordable and quality early childhood education (ECE), child health and development, and family support services to meet the needs of San Francisco's birth-to-five children and their families.</w:t>
            </w:r>
          </w:p>
        </w:tc>
        <w:tc>
          <w:tcPr>
            <w:tcW w:w="4947" w:type="dxa"/>
            <w:tcBorders>
              <w:top w:val="single" w:sz="18" w:space="0" w:color="74C7AA"/>
              <w:left w:val="single" w:sz="4" w:space="0" w:color="D9D9D9"/>
              <w:bottom w:val="single" w:sz="4" w:space="0" w:color="D9D9D9"/>
              <w:right w:val="single" w:sz="4" w:space="0" w:color="D9D9D9"/>
            </w:tcBorders>
            <w:tcMar>
              <w:top w:w="100" w:type="dxa"/>
              <w:left w:w="120" w:type="dxa"/>
              <w:bottom w:w="100" w:type="dxa"/>
              <w:right w:w="110" w:type="dxa"/>
            </w:tcMar>
            <w:vAlign w:val="center"/>
          </w:tcPr>
          <w:p w14:paraId="021BABAB" w14:textId="77777777" w:rsidR="00385428" w:rsidRDefault="002272D1">
            <w:pPr>
              <w:spacing w:after="40" w:line="240" w:lineRule="auto"/>
            </w:pPr>
            <w:r>
              <w:rPr>
                <w:rFonts w:ascii="Quicksand" w:eastAsia="Quicksand" w:hAnsi="Quicksand"/>
                <w:b/>
                <w:color w:val="74C7AA"/>
                <w:sz w:val="27"/>
              </w:rPr>
              <w:t>2.</w:t>
            </w:r>
          </w:p>
          <w:p w14:paraId="7A957CA2" w14:textId="77777777" w:rsidR="00385428" w:rsidRDefault="002272D1">
            <w:pPr>
              <w:spacing w:after="0" w:line="264" w:lineRule="auto"/>
            </w:pPr>
            <w:r>
              <w:rPr>
                <w:sz w:val="18"/>
              </w:rPr>
              <w:t>Commits to developing and promoting policies and best practices that disrupt racially inequitable early childhood programming and eliminate disparate outcomes for all young children and their families, inclusive of Black, Latino, Indigenous, and Pacific Islander communities to address the overrepresentation of disparities that persist across early childhood development outcomes for their families.</w:t>
            </w:r>
          </w:p>
        </w:tc>
      </w:tr>
      <w:tr w:rsidR="00385428" w14:paraId="6D643B88" w14:textId="77777777" w:rsidTr="004541B2">
        <w:trPr>
          <w:trHeight w:val="1880"/>
          <w:jc w:val="center"/>
        </w:trPr>
        <w:tc>
          <w:tcPr>
            <w:tcW w:w="5085" w:type="dxa"/>
            <w:tcBorders>
              <w:top w:val="single" w:sz="18" w:space="0" w:color="A485BD"/>
              <w:left w:val="single" w:sz="4" w:space="0" w:color="D9D9D9"/>
              <w:bottom w:val="single" w:sz="4" w:space="0" w:color="D9D9D9"/>
              <w:right w:val="single" w:sz="4" w:space="0" w:color="D9D9D9"/>
            </w:tcBorders>
            <w:tcMar>
              <w:top w:w="100" w:type="dxa"/>
              <w:left w:w="120" w:type="dxa"/>
              <w:bottom w:w="100" w:type="dxa"/>
              <w:right w:w="110" w:type="dxa"/>
            </w:tcMar>
            <w:vAlign w:val="center"/>
          </w:tcPr>
          <w:p w14:paraId="20C9006F" w14:textId="77777777" w:rsidR="00385428" w:rsidRDefault="002272D1">
            <w:pPr>
              <w:spacing w:after="40" w:line="240" w:lineRule="auto"/>
            </w:pPr>
            <w:r>
              <w:rPr>
                <w:rFonts w:ascii="Quicksand" w:eastAsia="Quicksand" w:hAnsi="Quicksand"/>
                <w:b/>
                <w:color w:val="A485BD"/>
                <w:sz w:val="27"/>
              </w:rPr>
              <w:t>3.</w:t>
            </w:r>
          </w:p>
          <w:p w14:paraId="5A2253ED" w14:textId="0ACF35A5" w:rsidR="00385428" w:rsidRDefault="002272D1">
            <w:pPr>
              <w:spacing w:after="0" w:line="264" w:lineRule="auto"/>
            </w:pPr>
            <w:r>
              <w:rPr>
                <w:sz w:val="18"/>
              </w:rPr>
              <w:t>Regardless of need or ability</w:t>
            </w:r>
            <w:r w:rsidR="004541B2">
              <w:rPr>
                <w:sz w:val="18"/>
              </w:rPr>
              <w:t>,</w:t>
            </w:r>
            <w:r>
              <w:rPr>
                <w:sz w:val="18"/>
              </w:rPr>
              <w:t xml:space="preserve"> families have the information, resources, and connections to peers and professionals to successfully raise their children in San Francisco.</w:t>
            </w:r>
          </w:p>
        </w:tc>
        <w:tc>
          <w:tcPr>
            <w:tcW w:w="4947" w:type="dxa"/>
            <w:tcBorders>
              <w:top w:val="single" w:sz="18" w:space="0" w:color="E9539E"/>
              <w:left w:val="single" w:sz="4" w:space="0" w:color="D9D9D9"/>
              <w:bottom w:val="single" w:sz="4" w:space="0" w:color="D9D9D9"/>
              <w:right w:val="single" w:sz="4" w:space="0" w:color="D9D9D9"/>
            </w:tcBorders>
            <w:tcMar>
              <w:top w:w="100" w:type="dxa"/>
              <w:left w:w="120" w:type="dxa"/>
              <w:bottom w:w="100" w:type="dxa"/>
              <w:right w:w="110" w:type="dxa"/>
            </w:tcMar>
            <w:vAlign w:val="center"/>
          </w:tcPr>
          <w:p w14:paraId="71FA8E60" w14:textId="77777777" w:rsidR="00385428" w:rsidRDefault="002272D1">
            <w:pPr>
              <w:spacing w:after="40" w:line="240" w:lineRule="auto"/>
            </w:pPr>
            <w:r>
              <w:rPr>
                <w:rFonts w:ascii="Quicksand" w:eastAsia="Quicksand" w:hAnsi="Quicksand"/>
                <w:b/>
                <w:color w:val="E9539E"/>
                <w:sz w:val="27"/>
              </w:rPr>
              <w:t>4.</w:t>
            </w:r>
          </w:p>
          <w:p w14:paraId="3434EC91" w14:textId="77777777" w:rsidR="00385428" w:rsidRDefault="002272D1">
            <w:pPr>
              <w:spacing w:after="0" w:line="264" w:lineRule="auto"/>
            </w:pPr>
            <w:r>
              <w:rPr>
                <w:sz w:val="18"/>
              </w:rPr>
              <w:t>Advances universal early intervention and developmental screening by ensuring that children birth-to-five receive timely identification of and connection to support for developmental, behavioral, and health needs.</w:t>
            </w:r>
          </w:p>
        </w:tc>
      </w:tr>
    </w:tbl>
    <w:p w14:paraId="394CCDD6" w14:textId="77777777" w:rsidR="00385428" w:rsidRDefault="002272D1">
      <w:pPr>
        <w:pStyle w:val="DECBody"/>
        <w:pBdr>
          <w:left w:val="single" w:sz="16" w:space="8" w:color="74C7AA"/>
        </w:pBdr>
        <w:spacing w:before="200" w:after="0"/>
        <w:ind w:left="202"/>
      </w:pPr>
      <w:r>
        <w:rPr>
          <w:sz w:val="20"/>
        </w:rPr>
        <w:t xml:space="preserve">As such, DEC's policy agenda is organized into six core strategies that have the greatest opportunity to support teacher preparation and compensation, enhance program quality, and improve affordability and access; ensure universal developmental screening and promote access to health and mental health </w:t>
      </w:r>
      <w:r>
        <w:rPr>
          <w:sz w:val="20"/>
        </w:rPr>
        <w:lastRenderedPageBreak/>
        <w:t>services for children and their families; and ensure that families have opportunities for social and professional connections, linkage to resources, and information on parenting and child development.</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94"/>
      </w:tblGrid>
      <w:tr w:rsidR="00385428" w14:paraId="4963F525" w14:textId="77777777">
        <w:trPr>
          <w:jc w:val="center"/>
        </w:trPr>
        <w:tc>
          <w:tcPr>
            <w:tcW w:w="9994" w:type="dxa"/>
            <w:shd w:val="clear" w:color="auto" w:fill="7D94CB"/>
            <w:tcMar>
              <w:top w:w="80" w:type="dxa"/>
              <w:left w:w="150" w:type="dxa"/>
              <w:bottom w:w="70" w:type="dxa"/>
              <w:right w:w="120" w:type="dxa"/>
            </w:tcMar>
          </w:tcPr>
          <w:p w14:paraId="52816747" w14:textId="77777777" w:rsidR="00385428" w:rsidRDefault="002272D1">
            <w:pPr>
              <w:spacing w:after="0" w:line="240" w:lineRule="auto"/>
            </w:pPr>
            <w:r>
              <w:rPr>
                <w:rFonts w:ascii="Quicksand" w:eastAsia="Quicksand" w:hAnsi="Quicksand"/>
                <w:b/>
                <w:color w:val="FFFFFF"/>
                <w:sz w:val="31"/>
              </w:rPr>
              <w:t>I.  Early Learning</w:t>
            </w:r>
          </w:p>
        </w:tc>
      </w:tr>
    </w:tbl>
    <w:p w14:paraId="1AC06AEE" w14:textId="77777777" w:rsidR="00385428" w:rsidRDefault="002272D1">
      <w:pPr>
        <w:pStyle w:val="DECDescription"/>
        <w:keepNext/>
        <w:spacing w:before="120" w:after="120"/>
      </w:pPr>
      <w:r>
        <w:t>Build a system that improves equitable access to high-quality, affordable early care and education for all children from birth to age five, so they have the best start in life and enter kindergarten ready to succeed.</w:t>
      </w:r>
    </w:p>
    <w:p w14:paraId="62D2E1CF" w14:textId="77777777" w:rsidR="00385428" w:rsidRDefault="002272D1">
      <w:pPr>
        <w:pStyle w:val="DECBody"/>
        <w:spacing w:before="40" w:after="80"/>
        <w:ind w:left="403" w:hanging="259"/>
      </w:pPr>
      <w:r>
        <w:rPr>
          <w:b/>
          <w:color w:val="7D94CB"/>
          <w:sz w:val="26"/>
        </w:rPr>
        <w:t>•</w:t>
      </w:r>
      <w:r>
        <w:t xml:space="preserve">  Using a racial equity framework, ensure that school-readiness experiences include high-quality early care and education for all children birth to age five, with a focus on increasing investments for infants and toddlers.</w:t>
      </w:r>
    </w:p>
    <w:p w14:paraId="4F2DA8A0" w14:textId="77777777" w:rsidR="00385428" w:rsidRDefault="002272D1">
      <w:pPr>
        <w:pStyle w:val="DECBody"/>
        <w:spacing w:after="80"/>
        <w:ind w:left="403" w:hanging="259"/>
      </w:pPr>
      <w:r>
        <w:rPr>
          <w:b/>
          <w:color w:val="7D94CB"/>
          <w:sz w:val="26"/>
        </w:rPr>
        <w:t>•</w:t>
      </w:r>
      <w:r>
        <w:t xml:space="preserve">  Prioritize culturally responsive and linguistically appropriate environments across a mixed-delivery system that views and supports each child holistically.</w:t>
      </w:r>
    </w:p>
    <w:p w14:paraId="25AAE794" w14:textId="77777777" w:rsidR="00385428" w:rsidRDefault="002272D1">
      <w:pPr>
        <w:pStyle w:val="DECBody"/>
        <w:spacing w:after="80"/>
        <w:ind w:left="403" w:hanging="259"/>
      </w:pPr>
      <w:r>
        <w:rPr>
          <w:b/>
          <w:color w:val="7D94CB"/>
          <w:sz w:val="26"/>
        </w:rPr>
        <w:t>•</w:t>
      </w:r>
      <w:r>
        <w:t xml:space="preserve">  Support state policies and strategies that enhance coherence and alignment for Universal PreK (UPK) through a mixed delivery system that includes public school districts, community-based early education centers, and Family Child Care programs, with an emphasis on quality improvement, coordination, and continuity of care.</w:t>
      </w:r>
    </w:p>
    <w:p w14:paraId="2882F05C" w14:textId="77777777" w:rsidR="00385428" w:rsidRDefault="002272D1">
      <w:pPr>
        <w:pStyle w:val="DECBody"/>
        <w:spacing w:after="80"/>
        <w:ind w:left="403" w:hanging="259"/>
      </w:pPr>
      <w:r>
        <w:rPr>
          <w:b/>
          <w:color w:val="7D94CB"/>
          <w:sz w:val="26"/>
        </w:rPr>
        <w:t>•</w:t>
      </w:r>
      <w:r>
        <w:t xml:space="preserve">  Advance the early care and education field by building high-quality, accessible facilities in underserved communities and developing economic supports to enrich existing programs. Amplify parent and family voice, engagement, and influence in shaping policies and programs.</w:t>
      </w:r>
    </w:p>
    <w:p w14:paraId="424BB9DC" w14:textId="77777777" w:rsidR="00385428" w:rsidRDefault="002272D1">
      <w:pPr>
        <w:pStyle w:val="DECBody"/>
        <w:spacing w:after="80"/>
        <w:ind w:left="403" w:hanging="259"/>
      </w:pPr>
      <w:r>
        <w:rPr>
          <w:b/>
          <w:color w:val="7D94CB"/>
          <w:sz w:val="26"/>
        </w:rPr>
        <w:t>•</w:t>
      </w:r>
      <w:r>
        <w:t xml:space="preserve">  Adopt policies that support the recruitment and retention of a diverse, well-trained early education workforce, with ample opportunities for higher education and fair compensation.</w:t>
      </w:r>
    </w:p>
    <w:p w14:paraId="6E260EDA" w14:textId="77777777" w:rsidR="00385428" w:rsidRDefault="00385428">
      <w:pPr>
        <w:spacing w:before="120" w:after="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94"/>
      </w:tblGrid>
      <w:tr w:rsidR="00385428" w14:paraId="44DF7F52" w14:textId="77777777">
        <w:trPr>
          <w:jc w:val="center"/>
        </w:trPr>
        <w:tc>
          <w:tcPr>
            <w:tcW w:w="9994" w:type="dxa"/>
            <w:shd w:val="clear" w:color="auto" w:fill="A485BD"/>
            <w:tcMar>
              <w:top w:w="80" w:type="dxa"/>
              <w:left w:w="150" w:type="dxa"/>
              <w:bottom w:w="70" w:type="dxa"/>
              <w:right w:w="120" w:type="dxa"/>
            </w:tcMar>
          </w:tcPr>
          <w:p w14:paraId="4514AA8B" w14:textId="77777777" w:rsidR="00385428" w:rsidRDefault="002272D1">
            <w:pPr>
              <w:spacing w:after="0" w:line="240" w:lineRule="auto"/>
            </w:pPr>
            <w:r>
              <w:rPr>
                <w:rFonts w:ascii="Quicksand" w:eastAsia="Quicksand" w:hAnsi="Quicksand"/>
                <w:b/>
                <w:color w:val="FFFFFF"/>
                <w:sz w:val="31"/>
              </w:rPr>
              <w:t>II.  Developmental Screening &amp; Early Intervention</w:t>
            </w:r>
          </w:p>
        </w:tc>
      </w:tr>
    </w:tbl>
    <w:p w14:paraId="4D244B0C" w14:textId="77777777" w:rsidR="00385428" w:rsidRDefault="002272D1">
      <w:pPr>
        <w:pStyle w:val="DECDescription"/>
        <w:keepNext/>
        <w:spacing w:before="120" w:after="120"/>
      </w:pPr>
      <w:r>
        <w:t>Advance a coordinated system of care for all children from birth to five that ensures access to developmental screening and early intervention services, when needed.</w:t>
      </w:r>
    </w:p>
    <w:p w14:paraId="045FF889" w14:textId="77777777" w:rsidR="00385428" w:rsidRDefault="002272D1">
      <w:pPr>
        <w:pStyle w:val="DECBody"/>
        <w:spacing w:before="40" w:after="80"/>
        <w:ind w:left="403" w:hanging="259"/>
      </w:pPr>
      <w:r>
        <w:rPr>
          <w:b/>
          <w:color w:val="A485BD"/>
          <w:sz w:val="26"/>
        </w:rPr>
        <w:t>•</w:t>
      </w:r>
      <w:r>
        <w:t xml:space="preserve">  Advance cross-departmental mechanisms to achieve continuous eligibility for families and continuity of care for children ages birth-to-five, with a focus on populations with exceptional needs and disparities in resources.</w:t>
      </w:r>
    </w:p>
    <w:p w14:paraId="70CE45D5" w14:textId="77777777" w:rsidR="00385428" w:rsidRDefault="002272D1">
      <w:pPr>
        <w:pStyle w:val="DECBody"/>
        <w:spacing w:after="80"/>
        <w:ind w:left="403" w:hanging="259"/>
      </w:pPr>
      <w:r>
        <w:rPr>
          <w:b/>
          <w:color w:val="A485BD"/>
          <w:sz w:val="26"/>
        </w:rPr>
        <w:t>•</w:t>
      </w:r>
      <w:r>
        <w:t xml:space="preserve">  Increase professional development, continuous quality improvement, and program expansion opportunities focused on effectively serving infants and toddlers and children with mild to moderate developmental concerns.</w:t>
      </w:r>
    </w:p>
    <w:p w14:paraId="3459E0B5" w14:textId="77777777" w:rsidR="00385428" w:rsidRDefault="002272D1">
      <w:pPr>
        <w:pStyle w:val="DECBody"/>
        <w:spacing w:after="80"/>
        <w:ind w:left="403" w:hanging="259"/>
      </w:pPr>
      <w:r>
        <w:rPr>
          <w:b/>
          <w:color w:val="A485BD"/>
          <w:sz w:val="26"/>
        </w:rPr>
        <w:t>•</w:t>
      </w:r>
      <w:r>
        <w:t xml:space="preserve">  Promote the importance of universal developmental screening across all service sectors, ensure that referral navigation and other supports are available to immediately respond to identified concerns and, if needed, facilitate connection to early intervention services as soon as possible.</w:t>
      </w:r>
    </w:p>
    <w:p w14:paraId="770E61FB" w14:textId="77777777" w:rsidR="00385428" w:rsidRDefault="002272D1">
      <w:pPr>
        <w:pStyle w:val="DECBody"/>
        <w:spacing w:after="80"/>
        <w:ind w:left="403" w:hanging="259"/>
      </w:pPr>
      <w:r>
        <w:rPr>
          <w:b/>
          <w:color w:val="A485BD"/>
          <w:sz w:val="26"/>
        </w:rPr>
        <w:t>•</w:t>
      </w:r>
      <w:r>
        <w:t xml:space="preserve">  Partner with local agencies to enhance, expand, and increase utilization of specialized services for children with special needs or children of concern and invest in inclusive ECE settings/facilities.</w:t>
      </w:r>
    </w:p>
    <w:p w14:paraId="7DD1DF67" w14:textId="77777777" w:rsidR="00385428" w:rsidRDefault="002272D1">
      <w:pPr>
        <w:pStyle w:val="DECBody"/>
        <w:spacing w:after="80"/>
        <w:ind w:left="403" w:hanging="259"/>
      </w:pPr>
      <w:r>
        <w:rPr>
          <w:b/>
          <w:color w:val="A485BD"/>
          <w:sz w:val="26"/>
        </w:rPr>
        <w:t>•</w:t>
      </w:r>
      <w:r>
        <w:t xml:space="preserve">  Influence local, state, and federal public policy to prioritize access and innovation around developmental screenings and early intervention services to address diverse family needs.</w:t>
      </w:r>
    </w:p>
    <w:p w14:paraId="7774711E" w14:textId="77777777" w:rsidR="00385428" w:rsidRDefault="00385428">
      <w:pPr>
        <w:spacing w:before="120" w:after="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94"/>
      </w:tblGrid>
      <w:tr w:rsidR="00385428" w14:paraId="1B0588D9" w14:textId="77777777">
        <w:trPr>
          <w:jc w:val="center"/>
        </w:trPr>
        <w:tc>
          <w:tcPr>
            <w:tcW w:w="9994" w:type="dxa"/>
            <w:shd w:val="clear" w:color="auto" w:fill="E9539E"/>
            <w:tcMar>
              <w:top w:w="80" w:type="dxa"/>
              <w:left w:w="150" w:type="dxa"/>
              <w:bottom w:w="70" w:type="dxa"/>
              <w:right w:w="120" w:type="dxa"/>
            </w:tcMar>
          </w:tcPr>
          <w:p w14:paraId="49249218" w14:textId="77777777" w:rsidR="00385428" w:rsidRDefault="002272D1">
            <w:pPr>
              <w:spacing w:after="0" w:line="240" w:lineRule="auto"/>
            </w:pPr>
            <w:r>
              <w:rPr>
                <w:rFonts w:ascii="Quicksand" w:eastAsia="Quicksand" w:hAnsi="Quicksand"/>
                <w:b/>
                <w:color w:val="FFFFFF"/>
                <w:sz w:val="31"/>
              </w:rPr>
              <w:t>III.  Family Strength &amp; Child Wellbeing</w:t>
            </w:r>
          </w:p>
        </w:tc>
      </w:tr>
    </w:tbl>
    <w:p w14:paraId="3E5FB669" w14:textId="77777777" w:rsidR="00385428" w:rsidRDefault="002272D1">
      <w:pPr>
        <w:pStyle w:val="DECDescription"/>
        <w:keepNext/>
        <w:spacing w:before="120" w:after="120"/>
      </w:pPr>
      <w:r>
        <w:t>Increase access to, and knowledge of, family resource programs and include parents as equal partners in framing policies that impact them and their children.</w:t>
      </w:r>
    </w:p>
    <w:p w14:paraId="78E5C237" w14:textId="77777777" w:rsidR="00385428" w:rsidRDefault="002272D1">
      <w:pPr>
        <w:pStyle w:val="DECBody"/>
        <w:spacing w:before="40" w:after="80"/>
        <w:ind w:left="403" w:hanging="259"/>
      </w:pPr>
      <w:r>
        <w:rPr>
          <w:b/>
          <w:color w:val="E9539E"/>
          <w:sz w:val="26"/>
        </w:rPr>
        <w:t>•</w:t>
      </w:r>
      <w:r>
        <w:t xml:space="preserve">  Bring families, parents, and caregivers into DEC decision-making, planning, and evaluation efforts.</w:t>
      </w:r>
    </w:p>
    <w:p w14:paraId="2158C3A6" w14:textId="77777777" w:rsidR="00385428" w:rsidRDefault="002272D1">
      <w:pPr>
        <w:pStyle w:val="DECBody"/>
        <w:spacing w:after="80"/>
        <w:ind w:left="403" w:hanging="259"/>
      </w:pPr>
      <w:r>
        <w:rPr>
          <w:b/>
          <w:color w:val="E9539E"/>
          <w:sz w:val="26"/>
        </w:rPr>
        <w:t>•</w:t>
      </w:r>
      <w:r>
        <w:t xml:space="preserve">  Expand access to culturally and linguistically responsive family strengthening resources, including voluntary home visiting programs that support pregnant moms, birthing people, and new parents, regardless of immigration status, that promote infant and child health.</w:t>
      </w:r>
    </w:p>
    <w:p w14:paraId="655680F5" w14:textId="77777777" w:rsidR="00385428" w:rsidRDefault="002272D1">
      <w:pPr>
        <w:pStyle w:val="DECBody"/>
        <w:spacing w:after="80"/>
        <w:ind w:left="403" w:hanging="259"/>
      </w:pPr>
      <w:r>
        <w:rPr>
          <w:b/>
          <w:color w:val="E9539E"/>
          <w:sz w:val="26"/>
        </w:rPr>
        <w:t>•</w:t>
      </w:r>
      <w:r>
        <w:t xml:space="preserve">  Support increased federal/state investments for families with young children that provide food assistance programs and focus on eliminating food insecurity, increasing access to nutritious foods, and improving dietary quality.</w:t>
      </w:r>
    </w:p>
    <w:p w14:paraId="429E260C" w14:textId="77777777" w:rsidR="00385428" w:rsidRDefault="002272D1">
      <w:pPr>
        <w:pStyle w:val="DECBody"/>
        <w:spacing w:after="80"/>
        <w:ind w:left="403" w:hanging="259"/>
      </w:pPr>
      <w:r>
        <w:rPr>
          <w:b/>
          <w:color w:val="E9539E"/>
          <w:sz w:val="26"/>
        </w:rPr>
        <w:t>•</w:t>
      </w:r>
      <w:r>
        <w:t xml:space="preserve">  Advocate for the availability of health insurance for families with young children, including dental, vision, and mental health services (e.g., Medi-Cal).</w:t>
      </w:r>
    </w:p>
    <w:p w14:paraId="48267B8B" w14:textId="77777777" w:rsidR="00385428" w:rsidRDefault="002272D1">
      <w:pPr>
        <w:pStyle w:val="DECBody"/>
        <w:spacing w:after="80"/>
        <w:ind w:left="403" w:hanging="259"/>
      </w:pPr>
      <w:r>
        <w:rPr>
          <w:b/>
          <w:color w:val="E9539E"/>
          <w:sz w:val="26"/>
        </w:rPr>
        <w:t>•</w:t>
      </w:r>
      <w:r>
        <w:t xml:space="preserve">  Support policies that expand multi-generational economic security, such as the expansion of paid family leave to one year, with wages and benefits provided on a scale up to 100% of income for low-income families, guaranteed income, and home ownership pathways.</w:t>
      </w:r>
    </w:p>
    <w:p w14:paraId="075E4D87" w14:textId="77777777" w:rsidR="00385428" w:rsidRDefault="002272D1">
      <w:pPr>
        <w:pStyle w:val="DECBody"/>
        <w:spacing w:after="80"/>
        <w:ind w:left="403" w:hanging="259"/>
      </w:pPr>
      <w:r>
        <w:rPr>
          <w:b/>
          <w:color w:val="E9539E"/>
          <w:sz w:val="26"/>
        </w:rPr>
        <w:t>•</w:t>
      </w:r>
      <w:r>
        <w:t xml:space="preserve">  Ensure San Francisco families, regardless of immigration status, have comprehensive access to a safety net of supports and resources for families and children, accessible through a variety of media.</w:t>
      </w:r>
    </w:p>
    <w:sectPr w:rsidR="00385428" w:rsidSect="00034616">
      <w:footerReference w:type="default" r:id="rId9"/>
      <w:pgSz w:w="12240" w:h="15840"/>
      <w:pgMar w:top="936" w:right="1123" w:bottom="936" w:left="1123"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6378" w14:textId="77777777" w:rsidR="00285719" w:rsidRDefault="00285719">
      <w:pPr>
        <w:spacing w:after="0" w:line="240" w:lineRule="auto"/>
      </w:pPr>
      <w:r>
        <w:separator/>
      </w:r>
    </w:p>
  </w:endnote>
  <w:endnote w:type="continuationSeparator" w:id="0">
    <w:p w14:paraId="769E7319" w14:textId="77777777" w:rsidR="00285719" w:rsidRDefault="0028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Quicksa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83D" w14:textId="77777777" w:rsidR="00385428" w:rsidRDefault="002272D1">
    <w:pPr>
      <w:pStyle w:val="Footer"/>
      <w:jc w:val="center"/>
    </w:pPr>
    <w:r>
      <w:rPr>
        <w:color w:val="E9539E"/>
        <w:sz w:val="17"/>
      </w:rPr>
      <w:t xml:space="preserve">San Francisco Department of Early </w:t>
    </w:r>
    <w:proofErr w:type="gramStart"/>
    <w:r>
      <w:rPr>
        <w:color w:val="E9539E"/>
        <w:sz w:val="17"/>
      </w:rPr>
      <w:t>Childhood  |</w:t>
    </w:r>
    <w:proofErr w:type="gramEnd"/>
    <w:r>
      <w:rPr>
        <w:color w:val="E9539E"/>
        <w:sz w:val="17"/>
      </w:rPr>
      <w:t xml:space="preserv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71C0" w14:textId="77777777" w:rsidR="00285719" w:rsidRDefault="00285719">
      <w:pPr>
        <w:spacing w:after="0" w:line="240" w:lineRule="auto"/>
      </w:pPr>
      <w:r>
        <w:separator/>
      </w:r>
    </w:p>
  </w:footnote>
  <w:footnote w:type="continuationSeparator" w:id="0">
    <w:p w14:paraId="57AEE0F7" w14:textId="77777777" w:rsidR="00285719" w:rsidRDefault="00285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3859021">
    <w:abstractNumId w:val="8"/>
  </w:num>
  <w:num w:numId="2" w16cid:durableId="1551914603">
    <w:abstractNumId w:val="6"/>
  </w:num>
  <w:num w:numId="3" w16cid:durableId="1050688051">
    <w:abstractNumId w:val="5"/>
  </w:num>
  <w:num w:numId="4" w16cid:durableId="1437485429">
    <w:abstractNumId w:val="4"/>
  </w:num>
  <w:num w:numId="5" w16cid:durableId="15279036">
    <w:abstractNumId w:val="7"/>
  </w:num>
  <w:num w:numId="6" w16cid:durableId="482165365">
    <w:abstractNumId w:val="3"/>
  </w:num>
  <w:num w:numId="7" w16cid:durableId="858398248">
    <w:abstractNumId w:val="2"/>
  </w:num>
  <w:num w:numId="8" w16cid:durableId="1908875180">
    <w:abstractNumId w:val="1"/>
  </w:num>
  <w:num w:numId="9" w16cid:durableId="715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zMwMjExNzU0M7ZQ0lEKTi0uzszPAykwrAUArn6sUiwAAAA="/>
  </w:docVars>
  <w:rsids>
    <w:rsidRoot w:val="00B47730"/>
    <w:rsid w:val="00034616"/>
    <w:rsid w:val="0006063C"/>
    <w:rsid w:val="0015074B"/>
    <w:rsid w:val="001C2D1B"/>
    <w:rsid w:val="002272D1"/>
    <w:rsid w:val="00285719"/>
    <w:rsid w:val="0029639D"/>
    <w:rsid w:val="00326F90"/>
    <w:rsid w:val="00385428"/>
    <w:rsid w:val="004541B2"/>
    <w:rsid w:val="005C7985"/>
    <w:rsid w:val="00676923"/>
    <w:rsid w:val="00AA1D8D"/>
    <w:rsid w:val="00B47730"/>
    <w:rsid w:val="00C96C4B"/>
    <w:rsid w:val="00CB0664"/>
    <w:rsid w:val="00EB2E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69AE8"/>
  <w14:defaultImageDpi w14:val="300"/>
  <w15:docId w15:val="{82AA5E6A-C0B6-4C99-923B-FB133737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ulish" w:eastAsia="Mulish" w:hAnsi="Mulish"/>
      <w:color w:val="3A3A3A"/>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SmallCaps">
    <w:name w:val="DEC Small Caps"/>
    <w:basedOn w:val="Normal"/>
    <w:rPr>
      <w:b/>
      <w:color w:val="E9539E"/>
      <w:sz w:val="19"/>
    </w:rPr>
  </w:style>
  <w:style w:type="paragraph" w:customStyle="1" w:styleId="DECBody">
    <w:name w:val="DEC Body"/>
    <w:basedOn w:val="Normal"/>
  </w:style>
  <w:style w:type="paragraph" w:customStyle="1" w:styleId="DECDescription">
    <w:name w:val="DEC Description"/>
    <w:basedOn w:val="Normal"/>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952</Words>
  <Characters>5912</Characters>
  <Application>Microsoft Office Word</Application>
  <DocSecurity>0</DocSecurity>
  <Lines>101</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Rubinsky, Jonathan (DEC)</cp:lastModifiedBy>
  <cp:revision>5</cp:revision>
  <dcterms:created xsi:type="dcterms:W3CDTF">2026-04-11T20:06:00Z</dcterms:created>
  <dcterms:modified xsi:type="dcterms:W3CDTF">2026-04-14T21:56:00Z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5a920fdf-6016-41b0-b39e-3ec309f8c473</vt:lpwstr>
  </property>
</Properties>
</file>